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shd w:val="clear" w:color="auto" w:fill="1F4E79"/>
      </w:pPr>
      <w:r>
        <w:rPr>
          <w:b/>
          <w:color w:val="FFFFFF"/>
          <w:sz w:val="36"/>
        </w:rPr>
        <w:t xml:space="preserve">  ⚡  RAPPORT D'AUDIT ÉNERGÉTIQUE</w:t>
      </w:r>
    </w:p>
    <w:p>
      <w:pPr>
        <w:spacing w:before="0" w:after="0"/>
        <w:shd w:val="clear" w:color="auto" w:fill="2E5F8A"/>
      </w:pPr>
      <w:r>
        <w:rPr>
          <w:i/>
          <w:color w:val="FFFFFF"/>
          <w:sz w:val="20"/>
        </w:rPr>
        <w:t xml:space="preserve">  FortHeC°  —  Conforme NF EN 16247  —  Audit réglementaire</w:t>
      </w:r>
    </w:p>
    <w:p/>
    <w:p/>
    <w:p>
      <w:pPr>
        <w:jc w:val="center"/>
      </w:pPr>
      <w:r>
        <w:rPr>
          <w:b/>
          <w:color w:val="1F4E79"/>
          <w:sz w:val="44"/>
        </w:rPr>
        <w:t>Fonderie Alumi-Test SA</w:t>
      </w:r>
    </w:p>
    <w:p>
      <w:pPr>
        <w:jc w:val="center"/>
      </w:pPr>
      <w:r>
        <w:rPr>
          <w:color w:val="555555"/>
          <w:sz w:val="22"/>
        </w:rPr>
        <w:t>12 Rue des Métaux, 31000 Toulouse</w:t>
      </w:r>
    </w:p>
    <w:p/>
    <w:tbl>
      <w:tblPr>
        <w:tblStyle w:val="TableGrid"/>
        <w:tblW w:type="auto" w:w="0"/>
        <w:tblLook w:firstColumn="1" w:firstRow="1" w:lastColumn="0" w:lastRow="0" w:noHBand="0" w:noVBand="1" w:val="04A0"/>
      </w:tblPr>
      <w:tblGrid>
        <w:gridCol w:w="4844"/>
        <w:gridCol w:w="4844"/>
      </w:tblGrid>
      <w:tr>
        <w:tc>
          <w:tcPr>
            <w:tcW w:type="dxa" w:w="4844"/>
            <w:shd w:val="clear" w:color="auto" w:fill="EBF3FA"/>
          </w:tcPr>
          <w:p>
            <w:r>
              <w:rPr>
                <w:b/>
                <w:color w:val="1F4E79"/>
                <w:sz w:val="20"/>
              </w:rPr>
              <w:t>Auditeur</w:t>
            </w:r>
          </w:p>
        </w:tc>
        <w:tc>
          <w:tcPr>
            <w:tcW w:type="dxa" w:w="4844"/>
            <w:shd w:val="clear" w:color="auto" w:fill="FFFFFF"/>
          </w:tcPr>
          <w:p>
            <w:r>
              <w:t>Hugo Chambefort</w:t>
            </w:r>
          </w:p>
        </w:tc>
      </w:tr>
      <w:tr>
        <w:tc>
          <w:tcPr>
            <w:tcW w:type="dxa" w:w="4844"/>
            <w:shd w:val="clear" w:color="auto" w:fill="EBF3FA"/>
          </w:tcPr>
          <w:p>
            <w:r>
              <w:rPr>
                <w:b/>
                <w:color w:val="1F4E79"/>
                <w:sz w:val="20"/>
              </w:rPr>
              <w:t>Organisme</w:t>
            </w:r>
          </w:p>
        </w:tc>
        <w:tc>
          <w:tcPr>
            <w:tcW w:type="dxa" w:w="4844"/>
            <w:shd w:val="clear" w:color="auto" w:fill="FFFFFF"/>
          </w:tcPr>
          <w:p>
            <w:r>
              <w:t>FortHec°</w:t>
            </w:r>
          </w:p>
        </w:tc>
      </w:tr>
      <w:tr>
        <w:tc>
          <w:tcPr>
            <w:tcW w:type="dxa" w:w="4844"/>
            <w:shd w:val="clear" w:color="auto" w:fill="EBF3FA"/>
          </w:tcPr>
          <w:p>
            <w:r>
              <w:rPr>
                <w:b/>
                <w:color w:val="1F4E79"/>
                <w:sz w:val="20"/>
              </w:rPr>
              <w:t>Date de l'audit</w:t>
            </w:r>
          </w:p>
        </w:tc>
        <w:tc>
          <w:tcPr>
            <w:tcW w:type="dxa" w:w="4844"/>
            <w:shd w:val="clear" w:color="auto" w:fill="FFFFFF"/>
          </w:tcPr>
          <w:p>
            <w:r>
              <w:t>2026-05-12</w:t>
            </w:r>
          </w:p>
        </w:tc>
      </w:tr>
      <w:tr>
        <w:tc>
          <w:tcPr>
            <w:tcW w:type="dxa" w:w="4844"/>
            <w:shd w:val="clear" w:color="auto" w:fill="EBF3FA"/>
          </w:tcPr>
          <w:p>
            <w:r>
              <w:rPr>
                <w:b/>
                <w:color w:val="1F4E79"/>
                <w:sz w:val="20"/>
              </w:rPr>
              <w:t>Type d'audit</w:t>
            </w:r>
          </w:p>
        </w:tc>
        <w:tc>
          <w:tcPr>
            <w:tcW w:type="dxa" w:w="4844"/>
            <w:shd w:val="clear" w:color="auto" w:fill="FFFFFF"/>
          </w:tcPr>
          <w:p>
            <w:r>
              <w:t>16247-3 Procédés industriels</w:t>
            </w:r>
          </w:p>
        </w:tc>
      </w:tr>
    </w:tbl>
    <w:p>
      <w:r>
        <w:br w:type="page"/>
      </w:r>
    </w:p>
    <w:p>
      <w:pPr>
        <w:spacing w:before="0" w:after="80"/>
        <w:pBdr>
          <w:left w:val="single" w:sz="24" w:space="4" w:color="1F4E79"/>
        </w:pBdr>
        <w:shd w:val="clear" w:color="auto" w:fill="EBF3FA"/>
      </w:pPr>
      <w:r>
        <w:rPr>
          <w:b/>
          <w:color w:val="FFFFFF"/>
          <w:sz w:val="26"/>
          <w:shd w:val="clear" w:color="auto" w:fill="1F4E79"/>
        </w:rPr>
        <w:t xml:space="preserve">  ◆  </w:t>
      </w:r>
      <w:r>
        <w:rPr>
          <w:b/>
          <w:color w:val="1F4E79"/>
          <w:sz w:val="26"/>
        </w:rPr>
        <w:t xml:space="preserve"> Résumé exécutif</w:t>
      </w:r>
    </w:p>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Consommation totale</w:t>
            </w:r>
          </w:p>
          <w:p>
            <w:pPr>
              <w:spacing w:before="0" w:after="40"/>
              <w:ind w:left="120"/>
            </w:pPr>
            <w:r>
              <w:rPr>
                <w:b/>
                <w:color w:val="1F4E79"/>
                <w:sz w:val="30"/>
              </w:rPr>
              <w:t>14 000 794</w:t>
            </w:r>
            <w:r>
              <w:rPr>
                <w:color w:val="555555"/>
                <w:sz w:val="16"/>
              </w:rPr>
              <w:t xml:space="preserve"> kWh/an</w:t>
            </w:r>
          </w:p>
        </w:tc>
        <w:tc>
          <w:tcPr>
            <w:tcW w:type="dxa" w:w="2422"/>
            <w:shd w:val="clear" w:color="auto" w:fill="EBF3FA"/>
            <w:tcBdr>
              <w:top w:val="single" w:sz="12" w:color="C45A00"/>
            </w:tcBdr>
          </w:tcPr>
          <w:p>
            <w:pPr>
              <w:spacing w:before="80" w:after="0"/>
              <w:ind w:left="120"/>
            </w:pPr>
            <w:r>
              <w:rPr>
                <w:color w:val="555555"/>
                <w:sz w:val="16"/>
              </w:rPr>
              <w:t>Coût énergétique</w:t>
            </w:r>
          </w:p>
          <w:p>
            <w:pPr>
              <w:spacing w:before="0" w:after="40"/>
              <w:ind w:left="120"/>
            </w:pPr>
            <w:r>
              <w:rPr>
                <w:b/>
                <w:color w:val="C45A00"/>
                <w:sz w:val="30"/>
              </w:rPr>
              <w:t>1 204 000</w:t>
            </w:r>
            <w:r>
              <w:rPr>
                <w:color w:val="555555"/>
                <w:sz w:val="16"/>
              </w:rPr>
              <w:t xml:space="preserve"> €/an</w:t>
            </w:r>
          </w:p>
        </w:tc>
        <w:tc>
          <w:tcPr>
            <w:tcW w:type="dxa" w:w="2422"/>
            <w:shd w:val="clear" w:color="auto" w:fill="EBF3FA"/>
            <w:tcBdr>
              <w:top w:val="single" w:sz="12" w:color="1A7A45"/>
            </w:tcBdr>
          </w:tcPr>
          <w:p>
            <w:pPr>
              <w:spacing w:before="80" w:after="0"/>
              <w:ind w:left="120"/>
            </w:pPr>
            <w:r>
              <w:rPr>
                <w:color w:val="555555"/>
                <w:sz w:val="16"/>
              </w:rPr>
              <w:t>Émissions CO₂</w:t>
            </w:r>
          </w:p>
          <w:p>
            <w:pPr>
              <w:spacing w:before="0" w:after="40"/>
              <w:ind w:left="120"/>
            </w:pPr>
            <w:r>
              <w:rPr>
                <w:b/>
                <w:color w:val="1A7A45"/>
                <w:sz w:val="30"/>
              </w:rPr>
              <w:t>1 588,6</w:t>
            </w:r>
            <w:r>
              <w:rPr>
                <w:color w:val="555555"/>
                <w:sz w:val="16"/>
              </w:rPr>
              <w:t xml:space="preserve"> tCO₂/an</w:t>
            </w:r>
          </w:p>
        </w:tc>
        <w:tc>
          <w:tcPr>
            <w:tcW w:type="dxa" w:w="2422"/>
            <w:shd w:val="clear" w:color="auto" w:fill="EBF3FA"/>
            <w:tcBdr>
              <w:top w:val="single" w:sz="12" w:color="2E5F8A"/>
            </w:tcBdr>
          </w:tcPr>
          <w:p>
            <w:pPr>
              <w:spacing w:before="80" w:after="0"/>
              <w:ind w:left="120"/>
            </w:pPr>
            <w:r>
              <w:rPr>
                <w:color w:val="555555"/>
                <w:sz w:val="16"/>
              </w:rPr>
              <w:t>IPE process</w:t>
            </w:r>
          </w:p>
          <w:p>
            <w:pPr>
              <w:spacing w:before="0" w:after="40"/>
              <w:ind w:left="120"/>
            </w:pPr>
            <w:r>
              <w:rPr>
                <w:b/>
                <w:color w:val="2E5F8A"/>
                <w:sz w:val="30"/>
              </w:rPr>
              <w:t>1 496,6</w:t>
            </w:r>
            <w:r>
              <w:rPr>
                <w:color w:val="555555"/>
                <w:sz w:val="16"/>
              </w:rPr>
              <w:t xml:space="preserve"> kWh/t</w:t>
            </w:r>
          </w:p>
        </w:tc>
      </w:tr>
    </w:tbl>
    <w:p>
      <w:pPr>
        <w:spacing w:after="80"/>
      </w:pPr>
    </w:p>
    <w:p>
      <w:pPr>
        <w:spacing w:after="160"/>
        <w:shd w:val="clear" w:color="auto" w:fill="EBF3FA"/>
      </w:pPr>
      <w:r>
        <w:rPr>
          <w:color w:val="555555"/>
          <w:sz w:val="20"/>
        </w:rPr>
        <w:t xml:space="preserve">  Performance énergétique : </w:t>
      </w:r>
      <w:r>
        <w:rPr>
          <w:b/>
          <w:color w:val="C0392B"/>
          <w:sz w:val="22"/>
        </w:rPr>
        <w:t>🔴 Élevé</w:t>
      </w:r>
      <w:r>
        <w:rPr>
          <w:color w:val="555555"/>
          <w:sz w:val="18"/>
        </w:rPr>
        <w:t xml:space="preserve">  —  IPE supérieur à la moyenne du secteur (&gt; 1200 kWh ep/m²/an). Gisement estimé : 66.3% par rapport au meilleur élève du se</w:t>
      </w:r>
    </w:p>
    <w:p/>
    <w:p>
      <w:r>
        <w:rPr>
          <w:b/>
          <w:color w:val="1F4E79"/>
          <w:sz w:val="22"/>
        </w:rPr>
        <w:t>Usages Énergétiques Significatifs identifiés (3)</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1F4E79"/>
          </w:tcPr>
          <w:p>
            <w:pPr>
              <w:jc w:val="center"/>
            </w:pPr>
            <w:r>
              <w:rPr>
                <w:b/>
                <w:color w:val="FFFFFF"/>
              </w:rPr>
              <w:t>Réf.</w:t>
            </w:r>
          </w:p>
        </w:tc>
        <w:tc>
          <w:tcPr>
            <w:tcW w:type="dxa" w:w="2422"/>
            <w:shd w:val="clear" w:color="auto" w:fill="1F4E79"/>
          </w:tcPr>
          <w:p>
            <w:pPr>
              <w:jc w:val="center"/>
            </w:pPr>
            <w:r>
              <w:rPr>
                <w:b/>
                <w:color w:val="FFFFFF"/>
              </w:rPr>
              <w:t>Usage</w:t>
            </w:r>
          </w:p>
        </w:tc>
        <w:tc>
          <w:tcPr>
            <w:tcW w:type="dxa" w:w="2422"/>
            <w:shd w:val="clear" w:color="auto" w:fill="1F4E79"/>
          </w:tcPr>
          <w:p>
            <w:pPr>
              <w:jc w:val="center"/>
            </w:pPr>
            <w:r>
              <w:rPr>
                <w:b/>
                <w:color w:val="FFFFFF"/>
              </w:rPr>
              <w:t>Consommation</w:t>
            </w:r>
          </w:p>
        </w:tc>
        <w:tc>
          <w:tcPr>
            <w:tcW w:type="dxa" w:w="2422"/>
            <w:shd w:val="clear" w:color="auto" w:fill="1F4E79"/>
          </w:tcPr>
          <w:p>
            <w:pPr>
              <w:jc w:val="center"/>
            </w:pPr>
            <w:r>
              <w:rPr>
                <w:b/>
                <w:color w:val="FFFFFF"/>
              </w:rPr>
              <w:t>Part</w:t>
            </w:r>
          </w:p>
        </w:tc>
      </w:tr>
      <w:tr>
        <w:tc>
          <w:tcPr>
            <w:tcW w:type="dxa" w:w="2422"/>
            <w:shd w:val="clear" w:color="auto" w:fill="FDECEA"/>
          </w:tcPr>
          <w:p>
            <w:r>
              <w:t>UES-01</w:t>
            </w:r>
          </w:p>
        </w:tc>
        <w:tc>
          <w:tcPr>
            <w:tcW w:type="dxa" w:w="2422"/>
            <w:shd w:val="clear" w:color="auto" w:fill="FFFFFF"/>
          </w:tcPr>
          <w:p>
            <w:r>
              <w:t>Fours / Cuisson</w:t>
            </w:r>
          </w:p>
        </w:tc>
        <w:tc>
          <w:tcPr>
            <w:tcW w:type="dxa" w:w="2422"/>
            <w:shd w:val="clear" w:color="auto" w:fill="FFFFFF"/>
          </w:tcPr>
          <w:p>
            <w:r>
              <w:t>5 433 598 kWh/an</w:t>
            </w:r>
          </w:p>
        </w:tc>
        <w:tc>
          <w:tcPr>
            <w:tcW w:type="dxa" w:w="2422"/>
            <w:shd w:val="clear" w:color="auto" w:fill="FDECEA"/>
          </w:tcPr>
          <w:p>
            <w:r>
              <w:t>38.8%</w:t>
            </w:r>
          </w:p>
        </w:tc>
      </w:tr>
      <w:tr>
        <w:tc>
          <w:tcPr>
            <w:tcW w:type="dxa" w:w="2422"/>
            <w:shd w:val="clear" w:color="auto" w:fill="FDECEA"/>
          </w:tcPr>
          <w:p>
            <w:r>
              <w:t>UES-02</w:t>
            </w:r>
          </w:p>
        </w:tc>
        <w:tc>
          <w:tcPr>
            <w:tcW w:type="dxa" w:w="2422"/>
            <w:shd w:val="clear" w:color="auto" w:fill="EBF3FA"/>
          </w:tcPr>
          <w:p>
            <w:r>
              <w:t>Process Gaz</w:t>
            </w:r>
          </w:p>
        </w:tc>
        <w:tc>
          <w:tcPr>
            <w:tcW w:type="dxa" w:w="2422"/>
            <w:shd w:val="clear" w:color="auto" w:fill="EBF3FA"/>
          </w:tcPr>
          <w:p>
            <w:r>
              <w:t>4 325 411 kWh/an</w:t>
            </w:r>
          </w:p>
        </w:tc>
        <w:tc>
          <w:tcPr>
            <w:tcW w:type="dxa" w:w="2422"/>
            <w:shd w:val="clear" w:color="auto" w:fill="FDECEA"/>
          </w:tcPr>
          <w:p>
            <w:r>
              <w:t>30.9%</w:t>
            </w:r>
          </w:p>
        </w:tc>
      </w:tr>
      <w:tr>
        <w:tc>
          <w:tcPr>
            <w:tcW w:type="dxa" w:w="2422"/>
            <w:shd w:val="clear" w:color="auto" w:fill="FDECEA"/>
          </w:tcPr>
          <w:p>
            <w:r>
              <w:t>UES-03</w:t>
            </w:r>
          </w:p>
        </w:tc>
        <w:tc>
          <w:tcPr>
            <w:tcW w:type="dxa" w:w="2422"/>
            <w:shd w:val="clear" w:color="auto" w:fill="FFFFFF"/>
          </w:tcPr>
          <w:p>
            <w:r>
              <w:t>Traitement thermique</w:t>
            </w:r>
          </w:p>
        </w:tc>
        <w:tc>
          <w:tcPr>
            <w:tcW w:type="dxa" w:w="2422"/>
            <w:shd w:val="clear" w:color="auto" w:fill="FFFFFF"/>
          </w:tcPr>
          <w:p>
            <w:r>
              <w:t>1 614 064 kWh/an</w:t>
            </w:r>
          </w:p>
        </w:tc>
        <w:tc>
          <w:tcPr>
            <w:tcW w:type="dxa" w:w="2422"/>
            <w:shd w:val="clear" w:color="auto" w:fill="FDECEA"/>
          </w:tcPr>
          <w:p>
            <w:r>
              <w:t>11.5%</w:t>
            </w:r>
          </w:p>
        </w:tc>
      </w:tr>
    </w:tbl>
    <w:p/>
    <w:p/>
    <w:p>
      <w:r>
        <w:rPr>
          <w:b/>
          <w:color w:val="1F4E79"/>
          <w:sz w:val="22"/>
        </w:rPr>
        <w:t>Top 3 actions prioritaires</w:t>
      </w:r>
    </w:p>
    <w:tbl>
      <w:tblPr>
        <w:tblStyle w:val="TableGrid"/>
        <w:tblW w:type="auto" w:w="0"/>
        <w:tblLook w:firstColumn="1" w:firstRow="1" w:lastColumn="0" w:lastRow="0" w:noHBand="0" w:noVBand="1" w:val="04A0"/>
      </w:tblPr>
      <w:tblGrid>
        <w:gridCol w:w="1938"/>
        <w:gridCol w:w="1938"/>
        <w:gridCol w:w="1938"/>
        <w:gridCol w:w="1938"/>
        <w:gridCol w:w="1938"/>
      </w:tblGrid>
      <w:tr>
        <w:tc>
          <w:tcPr>
            <w:tcW w:type="dxa" w:w="1938"/>
            <w:shd w:val="clear" w:color="auto" w:fill="1F4E79"/>
          </w:tcPr>
          <w:p>
            <w:pPr>
              <w:jc w:val="center"/>
            </w:pPr>
            <w:r>
              <w:rPr>
                <w:b/>
                <w:color w:val="FFFFFF"/>
              </w:rPr>
              <w:t>Action</w:t>
            </w:r>
          </w:p>
        </w:tc>
        <w:tc>
          <w:tcPr>
            <w:tcW w:type="dxa" w:w="1938"/>
            <w:shd w:val="clear" w:color="auto" w:fill="1F4E79"/>
          </w:tcPr>
          <w:p>
            <w:pPr>
              <w:jc w:val="center"/>
            </w:pPr>
            <w:r>
              <w:rPr>
                <w:b/>
                <w:color w:val="FFFFFF"/>
              </w:rPr>
              <w:t>Poste</w:t>
            </w:r>
          </w:p>
        </w:tc>
        <w:tc>
          <w:tcPr>
            <w:tcW w:type="dxa" w:w="1938"/>
            <w:shd w:val="clear" w:color="auto" w:fill="1F4E79"/>
          </w:tcPr>
          <w:p>
            <w:pPr>
              <w:jc w:val="center"/>
            </w:pPr>
            <w:r>
              <w:rPr>
                <w:b/>
                <w:color w:val="FFFFFF"/>
              </w:rPr>
              <w:t>Gain kWh/an</w:t>
            </w:r>
          </w:p>
        </w:tc>
        <w:tc>
          <w:tcPr>
            <w:tcW w:type="dxa" w:w="1938"/>
            <w:shd w:val="clear" w:color="auto" w:fill="1F4E79"/>
          </w:tcPr>
          <w:p>
            <w:pPr>
              <w:jc w:val="center"/>
            </w:pPr>
            <w:r>
              <w:rPr>
                <w:b/>
                <w:color w:val="FFFFFF"/>
              </w:rPr>
              <w:t>Gain €/an</w:t>
            </w:r>
          </w:p>
        </w:tc>
        <w:tc>
          <w:tcPr>
            <w:tcW w:type="dxa" w:w="1938"/>
            <w:shd w:val="clear" w:color="auto" w:fill="1F4E79"/>
          </w:tcPr>
          <w:p>
            <w:pPr>
              <w:jc w:val="center"/>
            </w:pPr>
            <w:r>
              <w:rPr>
                <w:b/>
                <w:color w:val="FFFFFF"/>
              </w:rPr>
              <w:t>ROI</w:t>
            </w:r>
          </w:p>
        </w:tc>
      </w:tr>
      <w:tr>
        <w:tc>
          <w:tcPr>
            <w:tcW w:type="dxa" w:w="1938"/>
            <w:shd w:val="clear" w:color="auto" w:fill="FFFFFF"/>
          </w:tcPr>
          <w:p>
            <w:r>
              <w:t>Remplacement des éclairages industriels Osram HQL 250W par des LED dans l'Atelier finition</w:t>
            </w:r>
          </w:p>
        </w:tc>
        <w:tc>
          <w:tcPr>
            <w:tcW w:type="dxa" w:w="1938"/>
            <w:shd w:val="clear" w:color="auto" w:fill="FFFFFF"/>
          </w:tcPr>
          <w:p>
            <w:r>
              <w:t>Éclairage</w:t>
            </w:r>
          </w:p>
        </w:tc>
        <w:tc>
          <w:tcPr>
            <w:tcW w:type="dxa" w:w="1938"/>
            <w:shd w:val="clear" w:color="auto" w:fill="FFFFFF"/>
          </w:tcPr>
          <w:p>
            <w:r>
              <w:t>21 000 kWh/an</w:t>
            </w:r>
          </w:p>
        </w:tc>
        <w:tc>
          <w:tcPr>
            <w:tcW w:type="dxa" w:w="1938"/>
            <w:shd w:val="clear" w:color="auto" w:fill="FFFFFF"/>
          </w:tcPr>
          <w:p>
            <w:r>
              <w:t>1 805 €/an</w:t>
            </w:r>
          </w:p>
        </w:tc>
        <w:tc>
          <w:tcPr>
            <w:tcW w:type="dxa" w:w="1938"/>
            <w:shd w:val="clear" w:color="auto" w:fill="FFFFFF"/>
          </w:tcPr>
          <w:p>
            <w:r>
              <w:t>2.5 ans</w:t>
            </w:r>
          </w:p>
        </w:tc>
      </w:tr>
      <w:tr>
        <w:tc>
          <w:tcPr>
            <w:tcW w:type="dxa" w:w="1938"/>
            <w:shd w:val="clear" w:color="auto" w:fill="EBF3FA"/>
          </w:tcPr>
          <w:p>
            <w:r>
              <w:t>Installation d'un variateur de vitesse sur le moteur LBC 350 kW de l'Atelier finition</w:t>
            </w:r>
          </w:p>
        </w:tc>
        <w:tc>
          <w:tcPr>
            <w:tcW w:type="dxa" w:w="1938"/>
            <w:shd w:val="clear" w:color="auto" w:fill="EBF3FA"/>
          </w:tcPr>
          <w:p>
            <w:r>
              <w:t>Moteurs / Entraînements</w:t>
            </w:r>
          </w:p>
        </w:tc>
        <w:tc>
          <w:tcPr>
            <w:tcW w:type="dxa" w:w="1938"/>
            <w:shd w:val="clear" w:color="auto" w:fill="EBF3FA"/>
          </w:tcPr>
          <w:p>
            <w:r>
              <w:t>157 500 kWh/an</w:t>
            </w:r>
          </w:p>
        </w:tc>
        <w:tc>
          <w:tcPr>
            <w:tcW w:type="dxa" w:w="1938"/>
            <w:shd w:val="clear" w:color="auto" w:fill="EBF3FA"/>
          </w:tcPr>
          <w:p>
            <w:r>
              <w:t>13 544 €/an</w:t>
            </w:r>
          </w:p>
        </w:tc>
        <w:tc>
          <w:tcPr>
            <w:tcW w:type="dxa" w:w="1938"/>
            <w:shd w:val="clear" w:color="auto" w:fill="EBF3FA"/>
          </w:tcPr>
          <w:p>
            <w:r>
              <w:t>2.6 ans</w:t>
            </w:r>
          </w:p>
        </w:tc>
      </w:tr>
      <w:tr>
        <w:tc>
          <w:tcPr>
            <w:tcW w:type="dxa" w:w="1938"/>
            <w:shd w:val="clear" w:color="auto" w:fill="FFFFFF"/>
          </w:tcPr>
          <w:p>
            <w:r>
              <w:t>Électrification : Chaudière gazDe Dietrich GT 330 (Chaufferie)</w:t>
            </w:r>
          </w:p>
        </w:tc>
        <w:tc>
          <w:tcPr>
            <w:tcW w:type="dxa" w:w="1938"/>
            <w:shd w:val="clear" w:color="auto" w:fill="FFFFFF"/>
          </w:tcPr>
          <w:p>
            <w:r>
              <w:t>Chauffage</w:t>
            </w:r>
          </w:p>
        </w:tc>
        <w:tc>
          <w:tcPr>
            <w:tcW w:type="dxa" w:w="1938"/>
            <w:shd w:val="clear" w:color="auto" w:fill="FFFFFF"/>
          </w:tcPr>
          <w:p>
            <w:r>
              <w:t>1 250 000 kWh/an</w:t>
            </w:r>
          </w:p>
        </w:tc>
        <w:tc>
          <w:tcPr>
            <w:tcW w:type="dxa" w:w="1938"/>
            <w:shd w:val="clear" w:color="auto" w:fill="FFFFFF"/>
          </w:tcPr>
          <w:p>
            <w:r>
              <w:t>65 000 €/an</w:t>
            </w:r>
          </w:p>
        </w:tc>
        <w:tc>
          <w:tcPr>
            <w:tcW w:type="dxa" w:w="1938"/>
            <w:shd w:val="clear" w:color="auto" w:fill="FFFFFF"/>
          </w:tcPr>
          <w:p>
            <w:r>
              <w:t>4.8 ans</w:t>
            </w:r>
          </w:p>
        </w:tc>
      </w:tr>
    </w:tbl>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Actions identifiées</w:t>
            </w:r>
          </w:p>
          <w:p>
            <w:pPr>
              <w:spacing w:before="0" w:after="40"/>
              <w:ind w:left="120"/>
            </w:pPr>
            <w:r>
              <w:rPr>
                <w:b/>
                <w:color w:val="1F4E79"/>
                <w:sz w:val="30"/>
              </w:rPr>
              <w:t>8</w:t>
            </w:r>
          </w:p>
        </w:tc>
        <w:tc>
          <w:tcPr>
            <w:tcW w:type="dxa" w:w="2422"/>
            <w:shd w:val="clear" w:color="auto" w:fill="EBF3FA"/>
            <w:tcBdr>
              <w:top w:val="single" w:sz="12" w:color="1A7A45"/>
            </w:tcBdr>
          </w:tcPr>
          <w:p>
            <w:pPr>
              <w:spacing w:before="80" w:after="0"/>
              <w:ind w:left="120"/>
            </w:pPr>
            <w:r>
              <w:rPr>
                <w:color w:val="555555"/>
                <w:sz w:val="16"/>
              </w:rPr>
              <w:t>Économies totales</w:t>
            </w:r>
          </w:p>
          <w:p>
            <w:pPr>
              <w:spacing w:before="0" w:after="40"/>
              <w:ind w:left="120"/>
            </w:pPr>
            <w:r>
              <w:rPr>
                <w:b/>
                <w:color w:val="1A7A45"/>
                <w:sz w:val="30"/>
              </w:rPr>
              <w:t>2 806 000</w:t>
            </w:r>
            <w:r>
              <w:rPr>
                <w:color w:val="555555"/>
                <w:sz w:val="16"/>
              </w:rPr>
              <w:t xml:space="preserve"> kWh/an</w:t>
            </w:r>
          </w:p>
        </w:tc>
        <w:tc>
          <w:tcPr>
            <w:tcW w:type="dxa" w:w="2422"/>
            <w:shd w:val="clear" w:color="auto" w:fill="EBF3FA"/>
            <w:tcBdr>
              <w:top w:val="single" w:sz="12" w:color="1A7A45"/>
            </w:tcBdr>
          </w:tcPr>
          <w:p>
            <w:pPr>
              <w:spacing w:before="80" w:after="0"/>
              <w:ind w:left="120"/>
            </w:pPr>
            <w:r>
              <w:rPr>
                <w:color w:val="555555"/>
                <w:sz w:val="16"/>
              </w:rPr>
              <w:t>Gain financier</w:t>
            </w:r>
          </w:p>
          <w:p>
            <w:pPr>
              <w:spacing w:before="0" w:after="40"/>
              <w:ind w:left="120"/>
            </w:pPr>
            <w:r>
              <w:rPr>
                <w:b/>
                <w:color w:val="1A7A45"/>
                <w:sz w:val="30"/>
              </w:rPr>
              <w:t>198 811</w:t>
            </w:r>
            <w:r>
              <w:rPr>
                <w:color w:val="555555"/>
                <w:sz w:val="16"/>
              </w:rPr>
              <w:t xml:space="preserve"> €/an</w:t>
            </w:r>
          </w:p>
        </w:tc>
        <w:tc>
          <w:tcPr>
            <w:tcW w:type="dxa" w:w="2422"/>
            <w:shd w:val="clear" w:color="auto" w:fill="EBF3FA"/>
            <w:tcBdr>
              <w:top w:val="single" w:sz="12" w:color="C45A00"/>
            </w:tcBdr>
          </w:tcPr>
          <w:p>
            <w:pPr>
              <w:spacing w:before="80" w:after="0"/>
              <w:ind w:left="120"/>
            </w:pPr>
            <w:r>
              <w:rPr>
                <w:color w:val="555555"/>
                <w:sz w:val="16"/>
              </w:rPr>
              <w:t>ROI global estimé</w:t>
            </w:r>
          </w:p>
          <w:p>
            <w:pPr>
              <w:spacing w:before="0" w:after="40"/>
              <w:ind w:left="120"/>
            </w:pPr>
            <w:r>
              <w:rPr>
                <w:b/>
                <w:color w:val="C45A00"/>
                <w:sz w:val="30"/>
              </w:rPr>
              <w:t>8.4 ans</w:t>
            </w:r>
          </w:p>
        </w:tc>
      </w:tr>
    </w:tbl>
    <w:p>
      <w:pPr>
        <w:spacing w:after="80"/>
      </w:pPr>
    </w:p>
    <w:p>
      <w:pPr>
        <w:spacing w:after="120"/>
      </w:pPr>
      <w:r>
        <w:rPr>
          <w:i/>
          <w:color w:val="1A7A45"/>
          <w:sz w:val="20"/>
        </w:rPr>
        <w:t xml:space="preserve">  → Réduction de la consommation estimée : 20,0 % de la consommation totale</w:t>
      </w:r>
    </w:p>
    <w:p/>
    <w:p>
      <w:r>
        <w:rPr>
          <w:b/>
          <w:color w:val="1F4E79"/>
          <w:sz w:val="24"/>
        </w:rPr>
        <w:t>Données terrain FortHeC° Inventory</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Zones auditées</w:t>
            </w:r>
          </w:p>
          <w:p>
            <w:pPr>
              <w:spacing w:before="0" w:after="40"/>
              <w:ind w:left="120"/>
            </w:pPr>
            <w:r>
              <w:rPr>
                <w:b/>
                <w:color w:val="1F4E79"/>
                <w:sz w:val="30"/>
              </w:rPr>
              <w:t>19</w:t>
            </w:r>
          </w:p>
        </w:tc>
        <w:tc>
          <w:tcPr>
            <w:tcW w:type="dxa" w:w="2422"/>
            <w:shd w:val="clear" w:color="auto" w:fill="EBF3FA"/>
            <w:tcBdr>
              <w:top w:val="single" w:sz="12" w:color="1F4E79"/>
            </w:tcBdr>
          </w:tcPr>
          <w:p>
            <w:pPr>
              <w:spacing w:before="80" w:after="0"/>
              <w:ind w:left="120"/>
            </w:pPr>
            <w:r>
              <w:rPr>
                <w:color w:val="555555"/>
                <w:sz w:val="16"/>
              </w:rPr>
              <w:t>Équipements</w:t>
            </w:r>
          </w:p>
          <w:p>
            <w:pPr>
              <w:spacing w:before="0" w:after="40"/>
              <w:ind w:left="120"/>
            </w:pPr>
            <w:r>
              <w:rPr>
                <w:b/>
                <w:color w:val="1F4E79"/>
                <w:sz w:val="30"/>
              </w:rPr>
              <w:t>46</w:t>
            </w:r>
            <w:r>
              <w:rPr>
                <w:color w:val="555555"/>
                <w:sz w:val="16"/>
              </w:rPr>
              <w:t xml:space="preserve"> inventoriés</w:t>
            </w:r>
          </w:p>
        </w:tc>
        <w:tc>
          <w:tcPr>
            <w:tcW w:type="dxa" w:w="2422"/>
            <w:shd w:val="clear" w:color="auto" w:fill="EBF3FA"/>
            <w:tcBdr>
              <w:top w:val="single" w:sz="12" w:color="1F4E79"/>
            </w:tcBdr>
          </w:tcPr>
          <w:p>
            <w:pPr>
              <w:spacing w:before="80" w:after="0"/>
              <w:ind w:left="120"/>
            </w:pPr>
            <w:r>
              <w:rPr>
                <w:color w:val="555555"/>
                <w:sz w:val="16"/>
              </w:rPr>
              <w:t>Puissance installée</w:t>
            </w:r>
          </w:p>
          <w:p>
            <w:pPr>
              <w:spacing w:before="0" w:after="40"/>
              <w:ind w:left="120"/>
            </w:pPr>
            <w:r>
              <w:rPr>
                <w:b/>
                <w:color w:val="1F4E79"/>
                <w:sz w:val="30"/>
              </w:rPr>
              <w:t>2 563</w:t>
            </w:r>
            <w:r>
              <w:rPr>
                <w:color w:val="555555"/>
                <w:sz w:val="16"/>
              </w:rPr>
              <w:t xml:space="preserve"> kW</w:t>
            </w:r>
          </w:p>
        </w:tc>
        <w:tc>
          <w:tcPr>
            <w:tcW w:type="dxa" w:w="2422"/>
            <w:shd w:val="clear" w:color="auto" w:fill="EBF3FA"/>
            <w:tcBdr>
              <w:top w:val="single" w:sz="12" w:color="C45A00"/>
            </w:tcBdr>
          </w:tcPr>
          <w:p>
            <w:pPr>
              <w:spacing w:before="80" w:after="0"/>
              <w:ind w:left="120"/>
            </w:pPr>
            <w:r>
              <w:rPr>
                <w:color w:val="555555"/>
                <w:sz w:val="16"/>
              </w:rPr>
              <w:t>Conso estimée</w:t>
            </w:r>
          </w:p>
          <w:p>
            <w:pPr>
              <w:spacing w:before="0" w:after="40"/>
              <w:ind w:left="120"/>
            </w:pPr>
            <w:r>
              <w:rPr>
                <w:b/>
                <w:color w:val="C45A00"/>
                <w:sz w:val="30"/>
              </w:rPr>
              <w:t>13 793 613</w:t>
            </w:r>
            <w:r>
              <w:rPr>
                <w:color w:val="555555"/>
                <w:sz w:val="16"/>
              </w:rPr>
              <w:t xml:space="preserve"> kWh/an</w:t>
            </w:r>
          </w:p>
        </w:tc>
      </w:tr>
    </w:tbl>
    <w:p>
      <w:pPr>
        <w:spacing w:after="80"/>
      </w:pPr>
    </w:p>
    <w:p>
      <w:r>
        <w:rPr>
          <w:i/>
          <w:color w:val="C45A00"/>
          <w:sz w:val="20"/>
        </w:rPr>
        <w:t>U moyen pondéré du site : 0,96 W/m².K</w:t>
      </w:r>
    </w:p>
    <w:p>
      <w:r>
        <w:rPr>
          <w:color w:val="555555"/>
          <w:sz w:val="20"/>
        </w:rPr>
        <w:t>F-Gaz : 6 équipements — 11,1 kg — 15,92 t eq.CO₂</w:t>
      </w:r>
    </w:p>
    <w:p>
      <w:r>
        <w:br w:type="page"/>
      </w:r>
    </w:p>
    <w:p>
      <w:pPr>
        <w:spacing w:before="0" w:after="80"/>
        <w:pBdr>
          <w:left w:val="single" w:sz="24" w:space="4" w:color="1F4E79"/>
        </w:pBdr>
        <w:shd w:val="clear" w:color="auto" w:fill="EBF3FA"/>
      </w:pPr>
      <w:r>
        <w:rPr>
          <w:b/>
          <w:color w:val="FFFFFF"/>
          <w:sz w:val="26"/>
          <w:shd w:val="clear" w:color="auto" w:fill="1F4E79"/>
        </w:rPr>
        <w:t xml:space="preserve">  ◆  </w:t>
      </w:r>
      <w:r>
        <w:rPr>
          <w:b/>
          <w:color w:val="1F4E79"/>
          <w:sz w:val="26"/>
        </w:rPr>
        <w:t xml:space="preserve"> Sommaire</w:t>
      </w:r>
    </w:p>
    <w:p/>
    <w:p>
      <w:pPr>
        <w:spacing w:before="60" w:after="60"/>
        <w:ind w:left="240"/>
      </w:pPr>
      <w:r>
        <w:rPr>
          <w:b/>
          <w:color w:val="1F4E79"/>
        </w:rPr>
        <w:t xml:space="preserve">◆.  </w:t>
      </w:r>
      <w:r>
        <w:rPr>
          <w:color w:val="555555"/>
        </w:rPr>
        <w:t>Résumé exécutif</w:t>
      </w:r>
    </w:p>
    <w:p>
      <w:pPr>
        <w:spacing w:before="60" w:after="60"/>
        <w:ind w:left="240"/>
      </w:pPr>
      <w:r>
        <w:rPr>
          <w:b/>
          <w:color w:val="1F4E79"/>
        </w:rPr>
        <w:t xml:space="preserve">1.  </w:t>
      </w:r>
      <w:r>
        <w:rPr>
          <w:color w:val="555555"/>
        </w:rPr>
        <w:t>Contexte et objectifs</w:t>
      </w:r>
    </w:p>
    <w:p>
      <w:pPr>
        <w:spacing w:before="60" w:after="60"/>
        <w:ind w:left="240"/>
      </w:pPr>
      <w:r>
        <w:rPr>
          <w:b/>
          <w:color w:val="1F4E79"/>
        </w:rPr>
        <w:t xml:space="preserve">2.  </w:t>
      </w:r>
      <w:r>
        <w:rPr>
          <w:color w:val="555555"/>
        </w:rPr>
        <w:t>État des lieux bâtimentaire</w:t>
      </w:r>
    </w:p>
    <w:p>
      <w:pPr>
        <w:spacing w:before="60" w:after="60"/>
        <w:ind w:left="240"/>
      </w:pPr>
      <w:r>
        <w:rPr>
          <w:b/>
          <w:color w:val="1F4E79"/>
        </w:rPr>
        <w:t xml:space="preserve">3.  </w:t>
      </w:r>
      <w:r>
        <w:rPr>
          <w:color w:val="555555"/>
        </w:rPr>
        <w:t>État des lieux techniques</w:t>
      </w:r>
    </w:p>
    <w:p>
      <w:pPr>
        <w:spacing w:before="60" w:after="60"/>
        <w:ind w:left="240"/>
      </w:pPr>
      <w:r>
        <w:rPr>
          <w:b/>
          <w:color w:val="1F4E79"/>
        </w:rPr>
        <w:t xml:space="preserve">4.  </w:t>
      </w:r>
      <w:r>
        <w:rPr>
          <w:color w:val="555555"/>
        </w:rPr>
        <w:t>Registre F-Gaz</w:t>
      </w:r>
    </w:p>
    <w:p>
      <w:pPr>
        <w:spacing w:before="60" w:after="60"/>
        <w:ind w:left="240"/>
      </w:pPr>
      <w:r>
        <w:rPr>
          <w:b/>
          <w:color w:val="1F4E79"/>
        </w:rPr>
        <w:t xml:space="preserve">5.  </w:t>
      </w:r>
      <w:r>
        <w:rPr>
          <w:color w:val="555555"/>
        </w:rPr>
        <w:t>Analyse de vétusté &amp; criticité</w:t>
      </w:r>
    </w:p>
    <w:p>
      <w:pPr>
        <w:spacing w:before="60" w:after="60"/>
        <w:ind w:left="240"/>
      </w:pPr>
      <w:r>
        <w:rPr>
          <w:b/>
          <w:color w:val="1F4E79"/>
        </w:rPr>
        <w:t xml:space="preserve">6.  </w:t>
      </w:r>
      <w:r>
        <w:rPr>
          <w:color w:val="555555"/>
        </w:rPr>
        <w:t>Qualité des données de l'inventaire</w:t>
      </w:r>
    </w:p>
    <w:p>
      <w:pPr>
        <w:spacing w:before="60" w:after="60"/>
        <w:ind w:left="240"/>
      </w:pPr>
      <w:r>
        <w:rPr>
          <w:b/>
          <w:color w:val="1F4E79"/>
        </w:rPr>
        <w:t xml:space="preserve">7.  </w:t>
      </w:r>
      <w:r>
        <w:rPr>
          <w:color w:val="555555"/>
        </w:rPr>
        <w:t>Répartition énergétique du parc</w:t>
      </w:r>
    </w:p>
    <w:p>
      <w:pPr>
        <w:spacing w:before="60" w:after="60"/>
        <w:ind w:left="240"/>
      </w:pPr>
      <w:r>
        <w:rPr>
          <w:b/>
          <w:color w:val="1F4E79"/>
        </w:rPr>
        <w:t xml:space="preserve">8.  </w:t>
      </w:r>
      <w:r>
        <w:rPr>
          <w:color w:val="555555"/>
        </w:rPr>
        <w:t>Comptage et régulation</w:t>
      </w:r>
    </w:p>
    <w:p>
      <w:pPr>
        <w:spacing w:before="60" w:after="60"/>
        <w:ind w:left="240"/>
      </w:pPr>
      <w:r>
        <w:rPr>
          <w:b/>
          <w:color w:val="1F4E79"/>
        </w:rPr>
        <w:t xml:space="preserve">9.  </w:t>
      </w:r>
      <w:r>
        <w:rPr>
          <w:color w:val="555555"/>
        </w:rPr>
        <w:t>Analyse des consommations</w:t>
      </w:r>
    </w:p>
    <w:p>
      <w:pPr>
        <w:spacing w:before="60" w:after="60"/>
        <w:ind w:left="240"/>
      </w:pPr>
      <w:r>
        <w:rPr>
          <w:b/>
          <w:color w:val="1F4E79"/>
        </w:rPr>
        <w:t xml:space="preserve">10.  </w:t>
      </w:r>
      <w:r>
        <w:rPr>
          <w:color w:val="555555"/>
        </w:rPr>
        <w:t>Indicateurs de Performance Énergétique</w:t>
      </w:r>
    </w:p>
    <w:p>
      <w:pPr>
        <w:spacing w:before="60" w:after="60"/>
        <w:ind w:left="240"/>
      </w:pPr>
      <w:r>
        <w:rPr>
          <w:b/>
          <w:color w:val="1F4E79"/>
        </w:rPr>
        <w:t xml:space="preserve">11.  </w:t>
      </w:r>
      <w:r>
        <w:rPr>
          <w:color w:val="555555"/>
        </w:rPr>
        <w:t>Usages Énergétiques Significatifs</w:t>
      </w:r>
    </w:p>
    <w:p>
      <w:pPr>
        <w:spacing w:before="60" w:after="60"/>
        <w:ind w:left="240"/>
      </w:pPr>
      <w:r>
        <w:rPr>
          <w:b/>
          <w:color w:val="1F4E79"/>
        </w:rPr>
        <w:t xml:space="preserve">12.  </w:t>
      </w:r>
      <w:r>
        <w:rPr>
          <w:color w:val="555555"/>
        </w:rPr>
        <w:t>Courbe de charge</w:t>
      </w:r>
    </w:p>
    <w:p>
      <w:pPr>
        <w:spacing w:before="60" w:after="60"/>
        <w:ind w:left="240"/>
      </w:pPr>
      <w:r>
        <w:rPr>
          <w:b/>
          <w:color w:val="1F4E79"/>
        </w:rPr>
        <w:t xml:space="preserve">13.  </w:t>
      </w:r>
      <w:r>
        <w:rPr>
          <w:color w:val="555555"/>
        </w:rPr>
        <w:t>Synthèse des gains par thématique</w:t>
      </w:r>
    </w:p>
    <w:p>
      <w:pPr>
        <w:spacing w:before="60" w:after="60"/>
        <w:ind w:left="240"/>
      </w:pPr>
      <w:r>
        <w:rPr>
          <w:b/>
          <w:color w:val="1F4E79"/>
        </w:rPr>
        <w:t xml:space="preserve">14.  </w:t>
      </w:r>
      <w:r>
        <w:rPr>
          <w:color w:val="555555"/>
        </w:rPr>
        <w:t>Plan d'actions</w:t>
      </w:r>
    </w:p>
    <w:p>
      <w:pPr>
        <w:spacing w:before="60" w:after="60"/>
        <w:ind w:left="240"/>
      </w:pPr>
      <w:r>
        <w:rPr>
          <w:b/>
          <w:color w:val="1F4E79"/>
        </w:rPr>
        <w:t xml:space="preserve">15.  </w:t>
      </w:r>
      <w:r>
        <w:rPr>
          <w:color w:val="555555"/>
        </w:rPr>
        <w:t>Scénario d'électrification</w:t>
      </w:r>
    </w:p>
    <w:p>
      <w:pPr>
        <w:spacing w:before="60" w:after="60"/>
        <w:ind w:left="240"/>
      </w:pPr>
      <w:r>
        <w:rPr>
          <w:b/>
          <w:color w:val="1F4E79"/>
        </w:rPr>
        <w:t xml:space="preserve">16.  </w:t>
      </w:r>
      <w:r>
        <w:rPr>
          <w:color w:val="555555"/>
        </w:rPr>
        <w:t>Aides financières</w:t>
      </w:r>
    </w:p>
    <w:p>
      <w:pPr>
        <w:spacing w:before="60" w:after="60"/>
        <w:ind w:left="240"/>
      </w:pPr>
      <w:r>
        <w:rPr>
          <w:b/>
          <w:color w:val="1F4E79"/>
        </w:rPr>
        <w:t xml:space="preserve">17.  </w:t>
      </w:r>
      <w:r>
        <w:rPr>
          <w:color w:val="555555"/>
        </w:rPr>
        <w:t>Méthode de Mesure et Vérification (M&amp;V)</w:t>
      </w:r>
    </w:p>
    <w:p>
      <w:pPr>
        <w:spacing w:before="60" w:after="60"/>
        <w:ind w:left="240"/>
      </w:pPr>
      <w:r>
        <w:rPr>
          <w:b/>
          <w:color w:val="1F4E79"/>
        </w:rPr>
        <w:t xml:space="preserve">18.  </w:t>
      </w:r>
      <w:r>
        <w:rPr>
          <w:color w:val="555555"/>
        </w:rPr>
        <w:t>Conclusion</w:t>
      </w:r>
    </w:p>
    <w:p>
      <w:pPr>
        <w:spacing w:before="60" w:after="60"/>
        <w:ind w:left="240"/>
      </w:pPr>
      <w:r>
        <w:rPr>
          <w:b/>
          <w:color w:val="1F4E79"/>
        </w:rPr>
        <w:t xml:space="preserve">A.  </w:t>
      </w:r>
      <w:r>
        <w:rPr>
          <w:color w:val="555555"/>
        </w:rPr>
        <w:t>Annexes</w:t>
      </w:r>
    </w:p>
    <w:p>
      <w:pPr>
        <w:spacing w:before="60" w:after="60"/>
        <w:ind w:left="240"/>
      </w:pPr>
      <w:r>
        <w:rPr>
          <w:b/>
          <w:color w:val="1F4E79"/>
        </w:rPr>
        <w:t xml:space="preserve">B.  </w:t>
      </w:r>
      <w:r>
        <w:rPr>
          <w:color w:val="555555"/>
        </w:rPr>
        <w:t>Annexes générales</w:t>
      </w:r>
    </w:p>
    <w:p>
      <w:pPr>
        <w:spacing w:before="160"/>
        <w:ind w:left="240"/>
      </w:pPr>
      <w:r>
        <w:rPr>
          <w:i/>
          <w:color w:val="555555"/>
          <w:sz w:val="16"/>
        </w:rPr>
        <w:t>Les numéros de section peuvent varier selon les données disponibles.</w:t>
      </w:r>
    </w:p>
    <w:p>
      <w:r>
        <w:br w:type="page"/>
      </w:r>
    </w:p>
    <w:p>
      <w:pPr>
        <w:spacing w:before="0" w:after="80"/>
        <w:pBdr>
          <w:left w:val="single" w:sz="24" w:space="4" w:color="1F4E79"/>
        </w:pBdr>
        <w:shd w:val="clear" w:color="auto" w:fill="EBF3FA"/>
      </w:pPr>
      <w:r>
        <w:rPr>
          <w:b/>
          <w:color w:val="FFFFFF"/>
          <w:sz w:val="26"/>
          <w:shd w:val="clear" w:color="auto" w:fill="1F4E79"/>
        </w:rPr>
        <w:t xml:space="preserve">  1.  </w:t>
      </w:r>
      <w:r>
        <w:rPr>
          <w:b/>
          <w:color w:val="1F4E79"/>
          <w:sz w:val="26"/>
        </w:rPr>
        <w:t xml:space="preserve"> Contexte et périmètre de l'audit</w:t>
      </w:r>
    </w:p>
    <w:p/>
    <w:p>
      <w:pPr>
        <w:spacing w:after="160"/>
      </w:pPr>
      <w:r>
        <w:t>Le présent rapport présente les résultats de l'audit énergétique réalisé sur le site « Fonderie Alumi-Test SA » conformément à la norme NF EN 16247.</w:t>
      </w:r>
    </w:p>
    <w:tbl>
      <w:tblPr>
        <w:tblStyle w:val="TableGrid"/>
        <w:tblW w:type="auto" w:w="0"/>
        <w:tblLook w:firstColumn="1" w:firstRow="1" w:lastColumn="0" w:lastRow="0" w:noHBand="0" w:noVBand="1" w:val="04A0"/>
      </w:tblPr>
      <w:tblGrid>
        <w:gridCol w:w="4844"/>
        <w:gridCol w:w="4844"/>
      </w:tblGrid>
      <w:tr>
        <w:tc>
          <w:tcPr>
            <w:tcW w:type="dxa" w:w="4844"/>
            <w:shd w:val="clear" w:color="auto" w:fill="EBF3FA"/>
          </w:tcPr>
          <w:p>
            <w:r>
              <w:rPr>
                <w:b/>
                <w:sz w:val="20"/>
              </w:rPr>
              <w:t>Secteur d'activité</w:t>
            </w:r>
          </w:p>
        </w:tc>
        <w:tc>
          <w:tcPr>
            <w:tcW w:type="dxa" w:w="4844"/>
            <w:shd w:val="clear" w:color="auto" w:fill="FFFFFF"/>
          </w:tcPr>
          <w:p>
            <w:r>
              <w:t>Industrie - Fonderie</w:t>
            </w:r>
          </w:p>
        </w:tc>
      </w:tr>
      <w:tr>
        <w:tc>
          <w:tcPr>
            <w:tcW w:type="dxa" w:w="4844"/>
            <w:shd w:val="clear" w:color="auto" w:fill="F5F5F5"/>
          </w:tcPr>
          <w:p>
            <w:r>
              <w:rPr>
                <w:b/>
                <w:sz w:val="20"/>
              </w:rPr>
              <w:t>Niveau d'audit</w:t>
            </w:r>
          </w:p>
        </w:tc>
        <w:tc>
          <w:tcPr>
            <w:tcW w:type="dxa" w:w="4844"/>
            <w:shd w:val="clear" w:color="auto" w:fill="FFFFFF"/>
          </w:tcPr>
          <w:p>
            <w:r>
              <w:t>Niveau 2 — Audit standard</w:t>
            </w:r>
          </w:p>
        </w:tc>
      </w:tr>
      <w:tr>
        <w:tc>
          <w:tcPr>
            <w:tcW w:type="dxa" w:w="4844"/>
            <w:shd w:val="clear" w:color="auto" w:fill="EBF3FA"/>
          </w:tcPr>
          <w:p>
            <w:r>
              <w:rPr>
                <w:b/>
                <w:sz w:val="20"/>
              </w:rPr>
              <w:t>Surface totale</w:t>
            </w:r>
          </w:p>
        </w:tc>
        <w:tc>
          <w:tcPr>
            <w:tcW w:type="dxa" w:w="4844"/>
            <w:shd w:val="clear" w:color="auto" w:fill="FFFFFF"/>
          </w:tcPr>
          <w:p>
            <w:r>
              <w:t>18 500 m²</w:t>
            </w:r>
          </w:p>
        </w:tc>
      </w:tr>
      <w:tr>
        <w:tc>
          <w:tcPr>
            <w:tcW w:type="dxa" w:w="4844"/>
            <w:shd w:val="clear" w:color="auto" w:fill="F5F5F5"/>
          </w:tcPr>
          <w:p>
            <w:r>
              <w:rPr>
                <w:b/>
                <w:sz w:val="20"/>
              </w:rPr>
              <w:t>Effectif</w:t>
            </w:r>
          </w:p>
        </w:tc>
        <w:tc>
          <w:tcPr>
            <w:tcW w:type="dxa" w:w="4844"/>
            <w:shd w:val="clear" w:color="auto" w:fill="FFFFFF"/>
          </w:tcPr>
          <w:p>
            <w:r>
              <w:t>145 personnes</w:t>
            </w:r>
          </w:p>
        </w:tc>
      </w:tr>
      <w:tr>
        <w:tc>
          <w:tcPr>
            <w:tcW w:type="dxa" w:w="4844"/>
            <w:shd w:val="clear" w:color="auto" w:fill="EBF3FA"/>
          </w:tcPr>
          <w:p>
            <w:r>
              <w:rPr>
                <w:b/>
                <w:sz w:val="20"/>
              </w:rPr>
              <w:t>Chiffre d'affaires</w:t>
            </w:r>
          </w:p>
        </w:tc>
        <w:tc>
          <w:tcPr>
            <w:tcW w:type="dxa" w:w="4844"/>
            <w:shd w:val="clear" w:color="auto" w:fill="FFFFFF"/>
          </w:tcPr>
          <w:p>
            <w:r>
              <w:t>24 500 000 €</w:t>
            </w:r>
          </w:p>
        </w:tc>
      </w:tr>
      <w:tr>
        <w:tc>
          <w:tcPr>
            <w:tcW w:type="dxa" w:w="4844"/>
            <w:shd w:val="clear" w:color="auto" w:fill="F5F5F5"/>
          </w:tcPr>
          <w:p>
            <w:r>
              <w:rPr>
                <w:b/>
                <w:sz w:val="20"/>
              </w:rPr>
              <w:t>Qualification auditeur</w:t>
            </w:r>
          </w:p>
        </w:tc>
        <w:tc>
          <w:tcPr>
            <w:tcW w:type="dxa" w:w="4844"/>
            <w:shd w:val="clear" w:color="auto" w:fill="FFFFFF"/>
          </w:tcPr>
          <w:p>
            <w:r>
              <w:t>OPQIBI1717</w:t>
            </w:r>
          </w:p>
        </w:tc>
      </w:tr>
    </w:tbl>
    <w:p/>
    <w:p>
      <w:r>
        <w:rPr>
          <w:b/>
          <w:color w:val="1F4E79"/>
          <w:sz w:val="22"/>
        </w:rPr>
        <w:t>Cadrage réglementaire</w:t>
      </w:r>
    </w:p>
    <w:p>
      <w:r>
        <w:t>La présente mission s'inscrit dans le cadre de la réglementation française relative à l'audit énergétique des grandes entreprises, issue de la transposition de la Directive européenne 2012/27/UE relative à l'efficacité énergétique, révisée par la Directive (UE) 2023/1791.</w:t>
      </w:r>
    </w:p>
    <w:p>
      <w:r>
        <w:t>Le Code de l'énergie (articles L.233-1 à L.233-4 et D.233-1 à D.233-9) transpose cette obligation en droit français : les entreprises concernées doivent réaliser, à échéance périodique, un audit couvrant leurs usages énergétiques significatifs. FortHeC° conduit cet exercice selon le cadre méthodologique de la norme NF EN 16247 — partie 1 pour le socle d'exigences générales, partie 3 lorsque le site relève de procédés industriels. La démarche associe systématiquement quatre volets : analyse des consommations, identification des usages énergétiques significatifs, évaluation de la performance énergétique et formulation de recommandations dont la pertinence technico-économique est démontrée.</w:t>
      </w:r>
    </w:p>
    <w:p>
      <w:r>
        <w:t>Le cadre réglementaire a par ailleurs évolué avec la Directive (UE) 2023/1791 du 13 septembre 2023 (entrée en vigueur le 10 octobre 2025), qui fixe désormais le seuil d'assujettissement à l'audit énergétique à 10 TJ de consommation annuelle, soit environ 2,75 GWh/an.</w:t>
      </w:r>
    </w:p>
    <w:p/>
    <w:p>
      <w:r>
        <w:rPr>
          <w:b/>
          <w:color w:val="1F4E79"/>
          <w:sz w:val="22"/>
        </w:rPr>
        <w:t>Niveau d'approfondissement</w:t>
      </w:r>
    </w:p>
    <w:tbl>
      <w:tblPr>
        <w:tblStyle w:val="TableGrid"/>
        <w:tblW w:type="auto" w:w="0"/>
        <w:tblLook w:firstColumn="1" w:firstRow="1" w:lastColumn="0" w:lastRow="0" w:noHBand="0" w:noVBand="1" w:val="04A0"/>
      </w:tblPr>
      <w:tblGrid>
        <w:gridCol w:w="3230"/>
        <w:gridCol w:w="3230"/>
        <w:gridCol w:w="3230"/>
      </w:tblGrid>
      <w:tr>
        <w:tc>
          <w:tcPr>
            <w:tcW w:type="dxa" w:w="3230"/>
            <w:shd w:val="clear" w:color="auto" w:fill="1F4E79"/>
          </w:tcPr>
          <w:p>
            <w:pPr>
              <w:jc w:val="center"/>
            </w:pPr>
            <w:r>
              <w:rPr>
                <w:b/>
                <w:color w:val="FFFFFF"/>
              </w:rPr>
              <w:t>Niveau</w:t>
            </w:r>
          </w:p>
        </w:tc>
        <w:tc>
          <w:tcPr>
            <w:tcW w:type="dxa" w:w="3230"/>
            <w:shd w:val="clear" w:color="auto" w:fill="1F4E79"/>
          </w:tcPr>
          <w:p>
            <w:pPr>
              <w:jc w:val="center"/>
            </w:pPr>
            <w:r>
              <w:rPr>
                <w:b/>
                <w:color w:val="FFFFFF"/>
              </w:rPr>
              <w:t>Retenu</w:t>
            </w:r>
          </w:p>
        </w:tc>
        <w:tc>
          <w:tcPr>
            <w:tcW w:type="dxa" w:w="3230"/>
            <w:shd w:val="clear" w:color="auto" w:fill="1F4E79"/>
          </w:tcPr>
          <w:p>
            <w:pPr>
              <w:jc w:val="center"/>
            </w:pPr>
            <w:r>
              <w:rPr>
                <w:b/>
                <w:color w:val="FFFFFF"/>
              </w:rPr>
              <w:t>Descriptif</w:t>
            </w:r>
          </w:p>
        </w:tc>
      </w:tr>
      <w:tr>
        <w:tc>
          <w:tcPr>
            <w:tcW w:type="dxa" w:w="3230"/>
            <w:shd w:val="clear" w:color="auto" w:fill="FFFFFF"/>
          </w:tcPr>
          <w:p>
            <w:r>
              <w:t>Niveau 1 : Standard</w:t>
            </w:r>
          </w:p>
        </w:tc>
        <w:tc>
          <w:tcPr>
            <w:tcW w:type="dxa" w:w="3230"/>
            <w:shd w:val="clear" w:color="auto" w:fill="FFFFFF"/>
          </w:tcPr>
          <w:p>
            <w:r/>
          </w:p>
        </w:tc>
        <w:tc>
          <w:tcPr>
            <w:tcW w:type="dxa" w:w="3230"/>
            <w:shd w:val="clear" w:color="auto" w:fill="FFFFFF"/>
          </w:tcPr>
          <w:p>
            <w:r>
              <w:t>Analyse standard, conforme aux exigences de la norme NF EN 16247.</w:t>
            </w:r>
          </w:p>
        </w:tc>
      </w:tr>
      <w:tr>
        <w:tc>
          <w:tcPr>
            <w:tcW w:type="dxa" w:w="3230"/>
            <w:shd w:val="clear" w:color="auto" w:fill="EBF3FA"/>
            <w:shd w:val="clear" w:color="auto" w:fill="EBF3FA"/>
          </w:tcPr>
          <w:p>
            <w:r>
              <w:rPr>
                <w:b/>
              </w:rPr>
              <w:t>Niveau 2 : Approfondi</w:t>
            </w:r>
          </w:p>
        </w:tc>
        <w:tc>
          <w:tcPr>
            <w:tcW w:type="dxa" w:w="3230"/>
            <w:shd w:val="clear" w:color="auto" w:fill="EBF3FA"/>
            <w:shd w:val="clear" w:color="auto" w:fill="EBF3FA"/>
          </w:tcPr>
          <w:p>
            <w:r>
              <w:rPr>
                <w:b/>
              </w:rPr>
              <w:t>X</w:t>
            </w:r>
          </w:p>
        </w:tc>
        <w:tc>
          <w:tcPr>
            <w:tcW w:type="dxa" w:w="3230"/>
            <w:shd w:val="clear" w:color="auto" w:fill="EBF3FA"/>
            <w:shd w:val="clear" w:color="auto" w:fill="EBF3FA"/>
          </w:tcPr>
          <w:p>
            <w:r>
              <w:rPr>
                <w:b/>
              </w:rPr>
              <w:t>Analyse approfondie, les usages énergétiques significatifs sont mesurés et non estimés.</w:t>
            </w:r>
          </w:p>
        </w:tc>
      </w:tr>
      <w:tr>
        <w:tc>
          <w:tcPr>
            <w:tcW w:type="dxa" w:w="3230"/>
            <w:shd w:val="clear" w:color="auto" w:fill="FFFFFF"/>
          </w:tcPr>
          <w:p>
            <w:r>
              <w:t>Niveau 3 : Détaillé</w:t>
            </w:r>
          </w:p>
        </w:tc>
        <w:tc>
          <w:tcPr>
            <w:tcW w:type="dxa" w:w="3230"/>
            <w:shd w:val="clear" w:color="auto" w:fill="FFFFFF"/>
          </w:tcPr>
          <w:p>
            <w:r/>
          </w:p>
        </w:tc>
        <w:tc>
          <w:tcPr>
            <w:tcW w:type="dxa" w:w="3230"/>
            <w:shd w:val="clear" w:color="auto" w:fill="FFFFFF"/>
          </w:tcPr>
          <w:p>
            <w:r>
              <w:t>Analyse détaillée, les potentiels sont précisés avec des coûts étayés par des devis.</w:t>
            </w:r>
          </w:p>
        </w:tc>
      </w:tr>
    </w:tbl>
    <w:p/>
    <w:p>
      <w:r>
        <w:rPr>
          <w:b/>
          <w:color w:val="1F4E79"/>
          <w:sz w:val="22"/>
        </w:rPr>
        <w:t>Méthodologie de l'audit</w:t>
      </w:r>
    </w:p>
    <w:p>
      <w:r>
        <w:t>Notre intervention se déroule en cinq étapes :</w:t>
      </w:r>
    </w:p>
    <w:p>
      <w:pPr>
        <w:pStyle w:val="ListParagraph"/>
      </w:pPr>
      <w:r>
        <w:t>Cadrage de la mission — définition du périmètre, des objectifs et recensement des données disponibles avec les interlocuteurs du site ;</w:t>
      </w:r>
    </w:p>
    <w:p>
      <w:pPr>
        <w:pStyle w:val="ListParagraph"/>
      </w:pPr>
      <w:r>
        <w:t>Collecte et fiabilisation des données — consommations historiques, factures, plans, conditions d'exploitation ;</w:t>
      </w:r>
    </w:p>
    <w:p>
      <w:pPr>
        <w:pStyle w:val="ListParagraph"/>
      </w:pPr>
      <w:r>
        <w:t>Investigations terrain — visite du site et, si nécessaire, campagne de mesures complémentaires ;</w:t>
      </w:r>
    </w:p>
    <w:p>
      <w:pPr>
        <w:pStyle w:val="ListParagraph"/>
      </w:pPr>
      <w:r>
        <w:t>Analyse énergétique — identification des usages énergétiques significatifs, construction de la Situation Énergétique de Référence, calcul des indicateurs de performance ;</w:t>
      </w:r>
    </w:p>
    <w:p>
      <w:pPr>
        <w:pStyle w:val="ListParagraph"/>
      </w:pPr>
      <w:r>
        <w:t>Restitution — hiérarchisation des actions d'amélioration et présentation des résultats au donneur d'ordre.</w:t>
      </w:r>
    </w:p>
    <w:p>
      <w:r>
        <w:t>L'identification des potentiels d'amélioration s'appuie sur plusieurs sources croisées : les actions déjà engagées ou planifiées par le site, l'exploitation des données de comptage existantes et de la campagne de mesures, les constats réalisés lors des visites terrain, ainsi qu'un temps d'échange collectif avec les équipes du site au moment de la restitution intermédiaire.</w:t>
      </w:r>
    </w:p>
    <w:p/>
    <w:p>
      <w:r>
        <w:rPr>
          <w:b/>
          <w:color w:val="1F4E79"/>
          <w:sz w:val="22"/>
        </w:rPr>
        <w:t>Objectifs et attendus de l'audit</w:t>
      </w:r>
    </w:p>
    <w:p>
      <w:r>
        <w:t>Cet audit vise en premier lieu à dresser un état des lieux énergétique précis du site : identifier les usages énergétiques significatifs liés aux procédés et aux utilités, et construire des indicateurs de performance énergétique réellement exploitables pour le pilotage. Sur cette base, les actions d'amélioration recensées portent aussi bien sur les procédés et les utilités que sur les usages liés au bâti.</w:t>
      </w:r>
    </w:p>
    <w:p>
      <w:r>
        <w:t>Chaque action est chiffrée selon trois angles — énergétique, économique et environnemental — afin de fournir au donneur d'ordre une base de décision directement exploitable pour construire un plan d'actions pluriannuel. Au-delà du diagnostic ponctuel, cet audit constitue le premier jalon d'une démarche de management de l'énergie : mise en place d'indicateurs de suivi, structuration d'un plan de comptage et définition d'une méthode de vérification des gains dans la durée.</w:t>
      </w:r>
    </w:p>
    <w:p/>
    <w:p>
      <w:r>
        <w:br w:type="page"/>
      </w:r>
    </w:p>
    <w:p>
      <w:pPr>
        <w:spacing w:before="0" w:after="80"/>
        <w:pBdr>
          <w:left w:val="single" w:sz="24" w:space="4" w:color="1F4E79"/>
        </w:pBdr>
        <w:shd w:val="clear" w:color="auto" w:fill="EBF3FA"/>
      </w:pPr>
      <w:r>
        <w:rPr>
          <w:b/>
          <w:color w:val="FFFFFF"/>
          <w:sz w:val="26"/>
          <w:shd w:val="clear" w:color="auto" w:fill="1F4E79"/>
        </w:rPr>
        <w:t xml:space="preserve">  2.  </w:t>
      </w:r>
      <w:r>
        <w:rPr>
          <w:b/>
          <w:color w:val="1F4E79"/>
          <w:sz w:val="26"/>
        </w:rPr>
        <w:t xml:space="preserve"> État initial — État des lieux bâtimentaire</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Nombre de zones</w:t>
            </w:r>
          </w:p>
          <w:p>
            <w:pPr>
              <w:spacing w:before="0" w:after="40"/>
              <w:ind w:left="120"/>
            </w:pPr>
            <w:r>
              <w:rPr>
                <w:b/>
                <w:color w:val="1F4E79"/>
                <w:sz w:val="30"/>
              </w:rPr>
              <w:t>19</w:t>
            </w:r>
          </w:p>
        </w:tc>
        <w:tc>
          <w:tcPr>
            <w:tcW w:type="dxa" w:w="2422"/>
            <w:shd w:val="clear" w:color="auto" w:fill="EBF3FA"/>
            <w:tcBdr>
              <w:top w:val="single" w:sz="12" w:color="2E5F8A"/>
            </w:tcBdr>
          </w:tcPr>
          <w:p>
            <w:pPr>
              <w:spacing w:before="80" w:after="0"/>
              <w:ind w:left="120"/>
            </w:pPr>
            <w:r>
              <w:rPr>
                <w:color w:val="555555"/>
                <w:sz w:val="16"/>
              </w:rPr>
              <w:t>Surface totale</w:t>
            </w:r>
          </w:p>
          <w:p>
            <w:pPr>
              <w:spacing w:before="0" w:after="40"/>
              <w:ind w:left="120"/>
            </w:pPr>
            <w:r>
              <w:rPr>
                <w:b/>
                <w:color w:val="2E5F8A"/>
                <w:sz w:val="30"/>
              </w:rPr>
              <w:t>3 260</w:t>
            </w:r>
            <w:r>
              <w:rPr>
                <w:color w:val="555555"/>
                <w:sz w:val="16"/>
              </w:rPr>
              <w:t xml:space="preserve"> m²</w:t>
            </w:r>
          </w:p>
        </w:tc>
        <w:tc>
          <w:tcPr>
            <w:tcW w:type="dxa" w:w="2422"/>
            <w:shd w:val="clear" w:color="auto" w:fill="EBF3FA"/>
            <w:tcBdr>
              <w:top w:val="single" w:sz="12" w:color="2E5F8A"/>
            </w:tcBdr>
          </w:tcPr>
          <w:p>
            <w:pPr>
              <w:spacing w:before="80" w:after="0"/>
              <w:ind w:left="120"/>
            </w:pPr>
            <w:r>
              <w:rPr>
                <w:color w:val="555555"/>
                <w:sz w:val="16"/>
              </w:rPr>
              <w:t>Parois renseignées</w:t>
            </w:r>
          </w:p>
          <w:p>
            <w:pPr>
              <w:spacing w:before="0" w:after="40"/>
              <w:ind w:left="120"/>
            </w:pPr>
            <w:r>
              <w:rPr>
                <w:b/>
                <w:color w:val="2E5F8A"/>
                <w:sz w:val="30"/>
              </w:rPr>
              <w:t>20</w:t>
            </w:r>
          </w:p>
        </w:tc>
        <w:tc>
          <w:tcPr>
            <w:tcW w:type="dxa" w:w="2422"/>
            <w:shd w:val="clear" w:color="auto" w:fill="EBF3FA"/>
            <w:tcBdr>
              <w:top w:val="single" w:sz="12" w:color="C45A00"/>
            </w:tcBdr>
          </w:tcPr>
          <w:p>
            <w:pPr>
              <w:spacing w:before="80" w:after="0"/>
              <w:ind w:left="120"/>
            </w:pPr>
            <w:r>
              <w:rPr>
                <w:color w:val="555555"/>
                <w:sz w:val="16"/>
              </w:rPr>
              <w:t>U moyen pondéré</w:t>
            </w:r>
          </w:p>
          <w:p>
            <w:pPr>
              <w:spacing w:before="0" w:after="40"/>
              <w:ind w:left="120"/>
            </w:pPr>
            <w:r>
              <w:rPr>
                <w:b/>
                <w:color w:val="C45A00"/>
                <w:sz w:val="30"/>
              </w:rPr>
              <w:t>0,96</w:t>
            </w:r>
            <w:r>
              <w:rPr>
                <w:color w:val="555555"/>
                <w:sz w:val="16"/>
              </w:rPr>
              <w:t xml:space="preserve"> W/m².K</w:t>
            </w:r>
          </w:p>
        </w:tc>
      </w:tr>
    </w:tbl>
    <w:p>
      <w:pPr>
        <w:spacing w:after="80"/>
      </w:pPr>
    </w:p>
    <w:p>
      <w:pPr>
        <w:shd w:val="clear" w:color="auto" w:fill="D6E4F0"/>
      </w:pPr>
      <w:r>
        <w:rPr>
          <w:b/>
          <w:color w:val="1F4E79"/>
          <w:sz w:val="22"/>
        </w:rPr>
        <w:t xml:space="preserve">  Zone : bâtiment réfectoire 3</w:t>
      </w:r>
    </w:p>
    <w:p>
      <w:r>
        <w:rPr>
          <w:color w:val="555555"/>
          <w:sz w:val="18"/>
        </w:rPr>
        <w:t>Hauteur : 2,5 m | Niveau : RDC</w:t>
      </w:r>
    </w:p>
    <w:p>
      <w:r>
        <w:rPr>
          <w:sz w:val="18"/>
        </w:rPr>
        <w:t>Aucune paroi renseignée pour cette zone.</w:t>
      </w:r>
    </w:p>
    <w:p/>
    <w:p>
      <w:pPr>
        <w:shd w:val="clear" w:color="auto" w:fill="D6E4F0"/>
      </w:pPr>
      <w:r>
        <w:rPr>
          <w:b/>
          <w:color w:val="1F4E79"/>
          <w:sz w:val="22"/>
        </w:rPr>
        <w:t xml:space="preserve">  Zone : chambre froide</w:t>
      </w:r>
    </w:p>
    <w:p>
      <w:r>
        <w:rPr>
          <w:color w:val="555555"/>
          <w:sz w:val="18"/>
        </w:rPr>
        <w:t>Hauteur : 2,5 m | Niveau : RDC</w:t>
      </w:r>
    </w:p>
    <w:p>
      <w:r>
        <w:rPr>
          <w:sz w:val="18"/>
        </w:rPr>
        <w:t>Aucune paroi renseignée pour cette zone.</w:t>
      </w:r>
    </w:p>
    <w:p/>
    <w:p>
      <w:pPr>
        <w:shd w:val="clear" w:color="auto" w:fill="D6E4F0"/>
      </w:pPr>
      <w:r>
        <w:rPr>
          <w:b/>
          <w:color w:val="1F4E79"/>
          <w:sz w:val="22"/>
        </w:rPr>
        <w:t xml:space="preserve">  Zone : Atelier finition</w:t>
      </w:r>
    </w:p>
    <w:p>
      <w:r>
        <w:rPr>
          <w:color w:val="555555"/>
          <w:sz w:val="18"/>
        </w:rPr>
        <w:t>Surface : 300 m² | Hauteur : 8,0 m | Niveau : RDC | Bâtiment : Bâtiment principal</w:t>
      </w:r>
    </w:p>
    <w:p>
      <w:r>
        <w:rPr>
          <w:sz w:val="18"/>
        </w:rPr>
        <w:t>Aucune paroi renseignée pour cette zone.</w:t>
      </w:r>
    </w:p>
    <w:p/>
    <w:p>
      <w:pPr>
        <w:shd w:val="clear" w:color="auto" w:fill="D6E4F0"/>
      </w:pPr>
      <w:r>
        <w:rPr>
          <w:b/>
          <w:color w:val="1F4E79"/>
          <w:sz w:val="22"/>
        </w:rPr>
        <w:t xml:space="preserve">  Zone : Chaufferie</w:t>
      </w:r>
    </w:p>
    <w:p>
      <w:r>
        <w:rPr>
          <w:color w:val="555555"/>
          <w:sz w:val="18"/>
        </w:rPr>
        <w:t>Surface : 60 m² | Hauteur : 3,5 m | Niveau : RDC | Bâtiment : Bâtiment principal</w:t>
      </w:r>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850"/>
            <w:shd w:val="clear" w:color="auto" w:fill="1F4E79"/>
          </w:tcPr>
          <w:p>
            <w:pPr>
              <w:jc w:val="center"/>
            </w:pPr>
            <w:r>
              <w:rPr>
                <w:b/>
                <w:color w:val="FFFFFF"/>
              </w:rPr>
              <w:t>Type</w:t>
            </w:r>
          </w:p>
        </w:tc>
        <w:tc>
          <w:tcPr>
            <w:tcW w:type="dxa" w:w="1701"/>
            <w:shd w:val="clear" w:color="auto" w:fill="1F4E79"/>
          </w:tcPr>
          <w:p>
            <w:pPr>
              <w:jc w:val="center"/>
            </w:pPr>
            <w:r>
              <w:rPr>
                <w:b/>
                <w:color w:val="FFFFFF"/>
              </w:rPr>
              <w:t>Nom / Description</w:t>
            </w:r>
          </w:p>
        </w:tc>
        <w:tc>
          <w:tcPr>
            <w:tcW w:type="dxa" w:w="1020"/>
            <w:shd w:val="clear" w:color="auto" w:fill="1F4E79"/>
          </w:tcPr>
          <w:p>
            <w:pPr>
              <w:jc w:val="center"/>
            </w:pPr>
            <w:r>
              <w:rPr>
                <w:b/>
                <w:color w:val="FFFFFF"/>
              </w:rPr>
              <w:t>Contact</w:t>
            </w:r>
          </w:p>
        </w:tc>
        <w:tc>
          <w:tcPr>
            <w:tcW w:type="dxa" w:w="3118"/>
            <w:shd w:val="clear" w:color="auto" w:fill="1F4E79"/>
          </w:tcPr>
          <w:p>
            <w:pPr>
              <w:jc w:val="center"/>
            </w:pPr>
            <w:r>
              <w:rPr>
                <w:b/>
                <w:color w:val="FFFFFF"/>
              </w:rPr>
              <w:t>Composition (ext → int)</w:t>
            </w:r>
          </w:p>
        </w:tc>
        <w:tc>
          <w:tcPr>
            <w:tcW w:type="dxa" w:w="1020"/>
            <w:shd w:val="clear" w:color="auto" w:fill="1F4E79"/>
          </w:tcPr>
          <w:p>
            <w:pPr>
              <w:jc w:val="center"/>
            </w:pPr>
            <w:r>
              <w:rPr>
                <w:b/>
                <w:color w:val="FFFFFF"/>
              </w:rPr>
              <w:t>R (m².K/W)</w:t>
            </w:r>
          </w:p>
        </w:tc>
        <w:tc>
          <w:tcPr>
            <w:tcW w:type="dxa" w:w="1361"/>
            <w:shd w:val="clear" w:color="auto" w:fill="1F4E79"/>
          </w:tcPr>
          <w:p>
            <w:pPr>
              <w:jc w:val="center"/>
            </w:pPr>
            <w:r>
              <w:rPr>
                <w:b/>
                <w:color w:val="FFFFFF"/>
              </w:rPr>
              <w:t>Appréciation RT</w:t>
            </w:r>
          </w:p>
        </w:tc>
      </w:tr>
      <w:tr>
        <w:tc>
          <w:tcPr>
            <w:tcW w:type="dxa" w:w="850"/>
            <w:shd w:val="clear" w:color="auto" w:fill="FFFFFF"/>
          </w:tcPr>
          <w:p>
            <w:r>
              <w:rPr>
                <w:sz w:val="18"/>
              </w:rPr>
              <w:t>Mur</w:t>
            </w:r>
          </w:p>
        </w:tc>
        <w:tc>
          <w:tcPr>
            <w:tcW w:type="dxa" w:w="1701"/>
            <w:shd w:val="clear" w:color="auto" w:fill="FFFFFF"/>
          </w:tcPr>
          <w:p>
            <w:r>
              <w:rPr>
                <w:sz w:val="18"/>
              </w:rPr>
              <w:t>Mur extérieur Est Non isolée — ventilation réglementaire</w:t>
            </w:r>
          </w:p>
        </w:tc>
        <w:tc>
          <w:tcPr>
            <w:tcW w:type="dxa" w:w="1020"/>
            <w:shd w:val="clear" w:color="auto" w:fill="FFFFFF"/>
          </w:tcPr>
          <w:p>
            <w:r>
              <w:rPr>
                <w:sz w:val="18"/>
              </w:rPr>
              <w:t>Extérieur</w:t>
            </w:r>
          </w:p>
        </w:tc>
        <w:tc>
          <w:tcPr>
            <w:tcW w:type="dxa" w:w="3118"/>
            <w:shd w:val="clear" w:color="auto" w:fill="FFFFFF"/>
          </w:tcPr>
          <w:p>
            <w:r>
              <w:rPr>
                <w:sz w:val="14"/>
              </w:rPr>
              <w:t>? — ? cm</w:t>
            </w:r>
          </w:p>
        </w:tc>
        <w:tc>
          <w:tcPr>
            <w:tcW w:type="dxa" w:w="1020"/>
            <w:shd w:val="clear" w:color="auto" w:fill="FFFFFF"/>
          </w:tcPr>
          <w:p>
            <w:r>
              <w:rPr>
                <w:sz w:val="18"/>
              </w:rPr>
              <w:t>0.5</w:t>
            </w:r>
          </w:p>
        </w:tc>
        <w:tc>
          <w:tcPr>
            <w:tcW w:type="dxa" w:w="1361"/>
            <w:shd w:val="clear" w:color="auto" w:fill="FDECEA"/>
          </w:tcPr>
          <w:p>
            <w:pPr>
              <w:jc w:val="center"/>
            </w:pPr>
            <w:r>
              <w:rPr>
                <w:b/>
                <w:sz w:val="18"/>
              </w:rPr>
              <w:t>3</w:t>
            </w:r>
          </w:p>
        </w:tc>
      </w:tr>
      <w:tr>
        <w:tc>
          <w:tcPr>
            <w:tcW w:type="dxa" w:w="850"/>
            <w:shd w:val="clear" w:color="auto" w:fill="EBF3FA"/>
          </w:tcPr>
          <w:p>
            <w:r>
              <w:rPr>
                <w:sz w:val="18"/>
              </w:rPr>
              <w:t>Porte</w:t>
            </w:r>
          </w:p>
        </w:tc>
        <w:tc>
          <w:tcPr>
            <w:tcW w:type="dxa" w:w="1701"/>
            <w:shd w:val="clear" w:color="auto" w:fill="EBF3FA"/>
          </w:tcPr>
          <w:p>
            <w:r>
              <w:rPr>
                <w:sz w:val="18"/>
              </w:rPr>
              <w:t>Porte Nord Porte coupe-feu 2h</w:t>
            </w:r>
          </w:p>
        </w:tc>
        <w:tc>
          <w:tcPr>
            <w:tcW w:type="dxa" w:w="1020"/>
            <w:shd w:val="clear" w:color="auto" w:fill="EBF3FA"/>
          </w:tcPr>
          <w:p>
            <w:r>
              <w:rPr>
                <w:sz w:val="18"/>
              </w:rPr>
              <w:t>—</w:t>
            </w:r>
          </w:p>
        </w:tc>
        <w:tc>
          <w:tcPr>
            <w:tcW w:type="dxa" w:w="3118"/>
            <w:shd w:val="clear" w:color="auto" w:fill="EBF3FA"/>
          </w:tcPr>
          <w:p>
            <w:r>
              <w:rPr>
                <w:sz w:val="14"/>
              </w:rPr>
              <w:t>? — ? cm</w:t>
            </w:r>
          </w:p>
        </w:tc>
        <w:tc>
          <w:tcPr>
            <w:tcW w:type="dxa" w:w="1020"/>
            <w:shd w:val="clear" w:color="auto" w:fill="EBF3FA"/>
          </w:tcPr>
          <w:p>
            <w:r>
              <w:rPr>
                <w:sz w:val="18"/>
              </w:rPr>
              <w:t>0.29</w:t>
            </w:r>
          </w:p>
        </w:tc>
        <w:tc>
          <w:tcPr>
            <w:tcW w:type="dxa" w:w="1361"/>
            <w:shd w:val="clear" w:color="auto" w:fill="FDECEA"/>
          </w:tcPr>
          <w:p>
            <w:pPr>
              <w:jc w:val="center"/>
            </w:pPr>
            <w:r>
              <w:rPr>
                <w:b/>
                <w:sz w:val="18"/>
              </w:rPr>
              <w:t>3</w:t>
            </w:r>
          </w:p>
        </w:tc>
      </w:tr>
    </w:tbl>
    <w:p>
      <w:r>
        <w:rPr>
          <w:i/>
          <w:color w:val="555555"/>
          <w:sz w:val="18"/>
        </w:rPr>
        <w:t>U moyen pondéré de la zone : 2,25 W/m².K</w:t>
      </w:r>
    </w:p>
    <w:p/>
    <w:p>
      <w:pPr>
        <w:shd w:val="clear" w:color="auto" w:fill="D6E4F0"/>
      </w:pPr>
      <w:r>
        <w:rPr>
          <w:b/>
          <w:color w:val="1F4E79"/>
          <w:sz w:val="22"/>
        </w:rPr>
        <w:t xml:space="preserve">  Zone : Contrôle qualité</w:t>
      </w:r>
    </w:p>
    <w:p>
      <w:r>
        <w:rPr>
          <w:color w:val="555555"/>
          <w:sz w:val="18"/>
        </w:rPr>
        <w:t>Surface : 120 m² | Hauteur : 4,0 m | Niveau : RDC | Bâtiment : Bâtiment principal</w:t>
      </w:r>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850"/>
            <w:shd w:val="clear" w:color="auto" w:fill="1F4E79"/>
          </w:tcPr>
          <w:p>
            <w:pPr>
              <w:jc w:val="center"/>
            </w:pPr>
            <w:r>
              <w:rPr>
                <w:b/>
                <w:color w:val="FFFFFF"/>
              </w:rPr>
              <w:t>Type</w:t>
            </w:r>
          </w:p>
        </w:tc>
        <w:tc>
          <w:tcPr>
            <w:tcW w:type="dxa" w:w="1701"/>
            <w:shd w:val="clear" w:color="auto" w:fill="1F4E79"/>
          </w:tcPr>
          <w:p>
            <w:pPr>
              <w:jc w:val="center"/>
            </w:pPr>
            <w:r>
              <w:rPr>
                <w:b/>
                <w:color w:val="FFFFFF"/>
              </w:rPr>
              <w:t>Nom / Description</w:t>
            </w:r>
          </w:p>
        </w:tc>
        <w:tc>
          <w:tcPr>
            <w:tcW w:type="dxa" w:w="1020"/>
            <w:shd w:val="clear" w:color="auto" w:fill="1F4E79"/>
          </w:tcPr>
          <w:p>
            <w:pPr>
              <w:jc w:val="center"/>
            </w:pPr>
            <w:r>
              <w:rPr>
                <w:b/>
                <w:color w:val="FFFFFF"/>
              </w:rPr>
              <w:t>Contact</w:t>
            </w:r>
          </w:p>
        </w:tc>
        <w:tc>
          <w:tcPr>
            <w:tcW w:type="dxa" w:w="3118"/>
            <w:shd w:val="clear" w:color="auto" w:fill="1F4E79"/>
          </w:tcPr>
          <w:p>
            <w:pPr>
              <w:jc w:val="center"/>
            </w:pPr>
            <w:r>
              <w:rPr>
                <w:b/>
                <w:color w:val="FFFFFF"/>
              </w:rPr>
              <w:t>Composition (ext → int)</w:t>
            </w:r>
          </w:p>
        </w:tc>
        <w:tc>
          <w:tcPr>
            <w:tcW w:type="dxa" w:w="1020"/>
            <w:shd w:val="clear" w:color="auto" w:fill="1F4E79"/>
          </w:tcPr>
          <w:p>
            <w:pPr>
              <w:jc w:val="center"/>
            </w:pPr>
            <w:r>
              <w:rPr>
                <w:b/>
                <w:color w:val="FFFFFF"/>
              </w:rPr>
              <w:t>R (m².K/W)</w:t>
            </w:r>
          </w:p>
        </w:tc>
        <w:tc>
          <w:tcPr>
            <w:tcW w:type="dxa" w:w="1361"/>
            <w:shd w:val="clear" w:color="auto" w:fill="1F4E79"/>
          </w:tcPr>
          <w:p>
            <w:pPr>
              <w:jc w:val="center"/>
            </w:pPr>
            <w:r>
              <w:rPr>
                <w:b/>
                <w:color w:val="FFFFFF"/>
              </w:rPr>
              <w:t>Appréciation RT</w:t>
            </w:r>
          </w:p>
        </w:tc>
      </w:tr>
      <w:tr>
        <w:tc>
          <w:tcPr>
            <w:tcW w:type="dxa" w:w="850"/>
            <w:shd w:val="clear" w:color="auto" w:fill="FFFFFF"/>
          </w:tcPr>
          <w:p>
            <w:r>
              <w:rPr>
                <w:sz w:val="18"/>
              </w:rPr>
              <w:t>Mur</w:t>
            </w:r>
          </w:p>
        </w:tc>
        <w:tc>
          <w:tcPr>
            <w:tcW w:type="dxa" w:w="1701"/>
            <w:shd w:val="clear" w:color="auto" w:fill="FFFFFF"/>
          </w:tcPr>
          <w:p>
            <w:r>
              <w:rPr>
                <w:sz w:val="18"/>
              </w:rPr>
              <w:t>Mur extérieur Est Zone climatisée — isolation correcte</w:t>
            </w:r>
          </w:p>
        </w:tc>
        <w:tc>
          <w:tcPr>
            <w:tcW w:type="dxa" w:w="1020"/>
            <w:shd w:val="clear" w:color="auto" w:fill="FFFFFF"/>
          </w:tcPr>
          <w:p>
            <w:r>
              <w:rPr>
                <w:sz w:val="18"/>
              </w:rPr>
              <w:t>Extérieur</w:t>
            </w:r>
          </w:p>
        </w:tc>
        <w:tc>
          <w:tcPr>
            <w:tcW w:type="dxa" w:w="3118"/>
            <w:shd w:val="clear" w:color="auto" w:fill="FFFFFF"/>
          </w:tcPr>
          <w:p>
            <w:r>
              <w:rPr>
                <w:sz w:val="14"/>
              </w:rPr>
              <w:t>? — ? cm</w:t>
            </w:r>
          </w:p>
          <w:p>
            <w:pPr>
              <w:spacing w:before="0" w:after="0"/>
            </w:pPr>
            <w:r>
              <w:rPr>
                <w:sz w:val="14"/>
              </w:rPr>
              <w:t>? — ? cm</w:t>
            </w:r>
          </w:p>
        </w:tc>
        <w:tc>
          <w:tcPr>
            <w:tcW w:type="dxa" w:w="1020"/>
            <w:shd w:val="clear" w:color="auto" w:fill="FFFFFF"/>
          </w:tcPr>
          <w:p>
            <w:r>
              <w:rPr>
                <w:sz w:val="18"/>
              </w:rPr>
              <w:t>2.38</w:t>
            </w:r>
          </w:p>
        </w:tc>
        <w:tc>
          <w:tcPr>
            <w:tcW w:type="dxa" w:w="1361"/>
            <w:shd w:val="clear" w:color="auto" w:fill="FFF3E0"/>
          </w:tcPr>
          <w:p>
            <w:pPr>
              <w:jc w:val="center"/>
            </w:pPr>
            <w:r>
              <w:rPr>
                <w:b/>
                <w:sz w:val="18"/>
              </w:rPr>
              <w:t>2</w:t>
            </w:r>
          </w:p>
        </w:tc>
      </w:tr>
      <w:tr>
        <w:tc>
          <w:tcPr>
            <w:tcW w:type="dxa" w:w="850"/>
            <w:shd w:val="clear" w:color="auto" w:fill="EBF3FA"/>
          </w:tcPr>
          <w:p>
            <w:r>
              <w:rPr>
                <w:sz w:val="18"/>
              </w:rPr>
              <w:t>Vitrage</w:t>
            </w:r>
          </w:p>
        </w:tc>
        <w:tc>
          <w:tcPr>
            <w:tcW w:type="dxa" w:w="1701"/>
            <w:shd w:val="clear" w:color="auto" w:fill="EBF3FA"/>
          </w:tcPr>
          <w:p>
            <w:r>
              <w:rPr>
                <w:sz w:val="18"/>
              </w:rPr>
              <w:t>Vitrage Est Baies vitrées labo</w:t>
            </w:r>
          </w:p>
        </w:tc>
        <w:tc>
          <w:tcPr>
            <w:tcW w:type="dxa" w:w="1020"/>
            <w:shd w:val="clear" w:color="auto" w:fill="EBF3FA"/>
          </w:tcPr>
          <w:p>
            <w:r>
              <w:rPr>
                <w:sz w:val="18"/>
              </w:rPr>
              <w:t>—</w:t>
            </w:r>
          </w:p>
        </w:tc>
        <w:tc>
          <w:tcPr>
            <w:tcW w:type="dxa" w:w="3118"/>
            <w:shd w:val="clear" w:color="auto" w:fill="EBF3FA"/>
          </w:tcPr>
          <w:p>
            <w:r>
              <w:rPr>
                <w:sz w:val="14"/>
              </w:rPr>
              <w:t>? — ? cm</w:t>
            </w:r>
          </w:p>
        </w:tc>
        <w:tc>
          <w:tcPr>
            <w:tcW w:type="dxa" w:w="1020"/>
            <w:shd w:val="clear" w:color="auto" w:fill="EBF3FA"/>
          </w:tcPr>
          <w:p>
            <w:r>
              <w:rPr>
                <w:sz w:val="18"/>
              </w:rPr>
              <w:t>0.67</w:t>
            </w:r>
          </w:p>
        </w:tc>
        <w:tc>
          <w:tcPr>
            <w:tcW w:type="dxa" w:w="1361"/>
            <w:shd w:val="clear" w:color="auto" w:fill="E8F5E9"/>
          </w:tcPr>
          <w:p>
            <w:pPr>
              <w:jc w:val="center"/>
            </w:pPr>
            <w:r>
              <w:rPr>
                <w:b/>
                <w:sz w:val="18"/>
              </w:rPr>
              <w:t>1</w:t>
            </w:r>
          </w:p>
        </w:tc>
      </w:tr>
    </w:tbl>
    <w:p>
      <w:r>
        <w:rPr>
          <w:i/>
          <w:color w:val="555555"/>
          <w:sz w:val="18"/>
        </w:rPr>
        <w:t>U moyen pondéré de la zone : 0,77 W/m².K</w:t>
      </w:r>
    </w:p>
    <w:p/>
    <w:p>
      <w:pPr>
        <w:shd w:val="clear" w:color="auto" w:fill="D6E4F0"/>
      </w:pPr>
      <w:r>
        <w:rPr>
          <w:b/>
          <w:color w:val="1F4E79"/>
          <w:sz w:val="22"/>
        </w:rPr>
        <w:t xml:space="preserve">  Zone : Expédition</w:t>
      </w:r>
    </w:p>
    <w:p>
      <w:r>
        <w:rPr>
          <w:color w:val="555555"/>
          <w:sz w:val="18"/>
        </w:rPr>
        <w:t>Surface : 250 m² | Hauteur : 6,0 m | Niveau : RDC | Bâtiment : Bâtiment principal</w:t>
      </w:r>
    </w:p>
    <w:p>
      <w:r>
        <w:rPr>
          <w:sz w:val="18"/>
        </w:rPr>
        <w:t>Aucune paroi renseignée pour cette zone.</w:t>
      </w:r>
    </w:p>
    <w:p/>
    <w:p>
      <w:pPr>
        <w:shd w:val="clear" w:color="auto" w:fill="D6E4F0"/>
      </w:pPr>
      <w:r>
        <w:rPr>
          <w:b/>
          <w:color w:val="1F4E79"/>
          <w:sz w:val="22"/>
        </w:rPr>
        <w:t xml:space="preserve">  Zone : Hall de fusion</w:t>
      </w:r>
    </w:p>
    <w:p>
      <w:r>
        <w:rPr>
          <w:color w:val="555555"/>
          <w:sz w:val="18"/>
        </w:rPr>
        <w:t>Surface : 800 m² | Hauteur : 12,0 m | Niveau : RDC | Bâtiment : Bâtiment principal</w:t>
      </w:r>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850"/>
            <w:shd w:val="clear" w:color="auto" w:fill="1F4E79"/>
          </w:tcPr>
          <w:p>
            <w:pPr>
              <w:jc w:val="center"/>
            </w:pPr>
            <w:r>
              <w:rPr>
                <w:b/>
                <w:color w:val="FFFFFF"/>
              </w:rPr>
              <w:t>Type</w:t>
            </w:r>
          </w:p>
        </w:tc>
        <w:tc>
          <w:tcPr>
            <w:tcW w:type="dxa" w:w="1701"/>
            <w:shd w:val="clear" w:color="auto" w:fill="1F4E79"/>
          </w:tcPr>
          <w:p>
            <w:pPr>
              <w:jc w:val="center"/>
            </w:pPr>
            <w:r>
              <w:rPr>
                <w:b/>
                <w:color w:val="FFFFFF"/>
              </w:rPr>
              <w:t>Nom / Description</w:t>
            </w:r>
          </w:p>
        </w:tc>
        <w:tc>
          <w:tcPr>
            <w:tcW w:type="dxa" w:w="1020"/>
            <w:shd w:val="clear" w:color="auto" w:fill="1F4E79"/>
          </w:tcPr>
          <w:p>
            <w:pPr>
              <w:jc w:val="center"/>
            </w:pPr>
            <w:r>
              <w:rPr>
                <w:b/>
                <w:color w:val="FFFFFF"/>
              </w:rPr>
              <w:t>Contact</w:t>
            </w:r>
          </w:p>
        </w:tc>
        <w:tc>
          <w:tcPr>
            <w:tcW w:type="dxa" w:w="3118"/>
            <w:shd w:val="clear" w:color="auto" w:fill="1F4E79"/>
          </w:tcPr>
          <w:p>
            <w:pPr>
              <w:jc w:val="center"/>
            </w:pPr>
            <w:r>
              <w:rPr>
                <w:b/>
                <w:color w:val="FFFFFF"/>
              </w:rPr>
              <w:t>Composition (ext → int)</w:t>
            </w:r>
          </w:p>
        </w:tc>
        <w:tc>
          <w:tcPr>
            <w:tcW w:type="dxa" w:w="1020"/>
            <w:shd w:val="clear" w:color="auto" w:fill="1F4E79"/>
          </w:tcPr>
          <w:p>
            <w:pPr>
              <w:jc w:val="center"/>
            </w:pPr>
            <w:r>
              <w:rPr>
                <w:b/>
                <w:color w:val="FFFFFF"/>
              </w:rPr>
              <w:t>R (m².K/W)</w:t>
            </w:r>
          </w:p>
        </w:tc>
        <w:tc>
          <w:tcPr>
            <w:tcW w:type="dxa" w:w="1361"/>
            <w:shd w:val="clear" w:color="auto" w:fill="1F4E79"/>
          </w:tcPr>
          <w:p>
            <w:pPr>
              <w:jc w:val="center"/>
            </w:pPr>
            <w:r>
              <w:rPr>
                <w:b/>
                <w:color w:val="FFFFFF"/>
              </w:rPr>
              <w:t>Appréciation RT</w:t>
            </w:r>
          </w:p>
        </w:tc>
      </w:tr>
      <w:tr>
        <w:tc>
          <w:tcPr>
            <w:tcW w:type="dxa" w:w="850"/>
            <w:shd w:val="clear" w:color="auto" w:fill="FFFFFF"/>
          </w:tcPr>
          <w:p>
            <w:r>
              <w:rPr>
                <w:sz w:val="18"/>
              </w:rPr>
              <w:t>Mur</w:t>
            </w:r>
          </w:p>
        </w:tc>
        <w:tc>
          <w:tcPr>
            <w:tcW w:type="dxa" w:w="1701"/>
            <w:shd w:val="clear" w:color="auto" w:fill="FFFFFF"/>
          </w:tcPr>
          <w:p>
            <w:r>
              <w:rPr>
                <w:sz w:val="18"/>
              </w:rPr>
              <w:t>Mur extérieur Nord Mur béton brut — aucune isolation</w:t>
            </w:r>
          </w:p>
        </w:tc>
        <w:tc>
          <w:tcPr>
            <w:tcW w:type="dxa" w:w="1020"/>
            <w:shd w:val="clear" w:color="auto" w:fill="FFFFFF"/>
          </w:tcPr>
          <w:p>
            <w:r>
              <w:rPr>
                <w:sz w:val="18"/>
              </w:rPr>
              <w:t>Extérieur</w:t>
            </w:r>
          </w:p>
        </w:tc>
        <w:tc>
          <w:tcPr>
            <w:tcW w:type="dxa" w:w="3118"/>
            <w:shd w:val="clear" w:color="auto" w:fill="FFFFFF"/>
          </w:tcPr>
          <w:p>
            <w:r>
              <w:rPr>
                <w:sz w:val="14"/>
              </w:rPr>
              <w:t>? — ? cm</w:t>
            </w:r>
          </w:p>
        </w:tc>
        <w:tc>
          <w:tcPr>
            <w:tcW w:type="dxa" w:w="1020"/>
            <w:shd w:val="clear" w:color="auto" w:fill="FFFFFF"/>
          </w:tcPr>
          <w:p>
            <w:r>
              <w:rPr>
                <w:sz w:val="18"/>
              </w:rPr>
              <w:t>0.56</w:t>
            </w:r>
          </w:p>
        </w:tc>
        <w:tc>
          <w:tcPr>
            <w:tcW w:type="dxa" w:w="1361"/>
            <w:shd w:val="clear" w:color="auto" w:fill="FDECEA"/>
          </w:tcPr>
          <w:p>
            <w:pPr>
              <w:jc w:val="center"/>
            </w:pPr>
            <w:r>
              <w:rPr>
                <w:b/>
                <w:sz w:val="18"/>
              </w:rPr>
              <w:t>3</w:t>
            </w:r>
          </w:p>
        </w:tc>
      </w:tr>
      <w:tr>
        <w:tc>
          <w:tcPr>
            <w:tcW w:type="dxa" w:w="850"/>
            <w:shd w:val="clear" w:color="auto" w:fill="EBF3FA"/>
          </w:tcPr>
          <w:p>
            <w:r>
              <w:rPr>
                <w:sz w:val="18"/>
              </w:rPr>
              <w:t>Mur</w:t>
            </w:r>
          </w:p>
        </w:tc>
        <w:tc>
          <w:tcPr>
            <w:tcW w:type="dxa" w:w="1701"/>
            <w:shd w:val="clear" w:color="auto" w:fill="EBF3FA"/>
          </w:tcPr>
          <w:p>
            <w:r>
              <w:rPr>
                <w:sz w:val="18"/>
              </w:rPr>
              <w:t>Mur extérieur Sud Identique mur Nord</w:t>
            </w:r>
          </w:p>
        </w:tc>
        <w:tc>
          <w:tcPr>
            <w:tcW w:type="dxa" w:w="1020"/>
            <w:shd w:val="clear" w:color="auto" w:fill="EBF3FA"/>
          </w:tcPr>
          <w:p>
            <w:r>
              <w:rPr>
                <w:sz w:val="18"/>
              </w:rPr>
              <w:t>Extérieur</w:t>
            </w:r>
          </w:p>
        </w:tc>
        <w:tc>
          <w:tcPr>
            <w:tcW w:type="dxa" w:w="3118"/>
            <w:shd w:val="clear" w:color="auto" w:fill="EBF3FA"/>
          </w:tcPr>
          <w:p>
            <w:r>
              <w:rPr>
                <w:sz w:val="14"/>
              </w:rPr>
              <w:t>? — ? cm</w:t>
            </w:r>
          </w:p>
        </w:tc>
        <w:tc>
          <w:tcPr>
            <w:tcW w:type="dxa" w:w="1020"/>
            <w:shd w:val="clear" w:color="auto" w:fill="EBF3FA"/>
          </w:tcPr>
          <w:p>
            <w:r>
              <w:rPr>
                <w:sz w:val="18"/>
              </w:rPr>
              <w:t>0.56</w:t>
            </w:r>
          </w:p>
        </w:tc>
        <w:tc>
          <w:tcPr>
            <w:tcW w:type="dxa" w:w="1361"/>
            <w:shd w:val="clear" w:color="auto" w:fill="FDECEA"/>
          </w:tcPr>
          <w:p>
            <w:pPr>
              <w:jc w:val="center"/>
            </w:pPr>
            <w:r>
              <w:rPr>
                <w:b/>
                <w:sz w:val="18"/>
              </w:rPr>
              <w:t>3</w:t>
            </w:r>
          </w:p>
        </w:tc>
      </w:tr>
      <w:tr>
        <w:tc>
          <w:tcPr>
            <w:tcW w:type="dxa" w:w="850"/>
            <w:shd w:val="clear" w:color="auto" w:fill="FFFFFF"/>
          </w:tcPr>
          <w:p>
            <w:r>
              <w:rPr>
                <w:sz w:val="18"/>
              </w:rPr>
              <w:t>Porte</w:t>
            </w:r>
          </w:p>
        </w:tc>
        <w:tc>
          <w:tcPr>
            <w:tcW w:type="dxa" w:w="1701"/>
            <w:shd w:val="clear" w:color="auto" w:fill="FFFFFF"/>
          </w:tcPr>
          <w:p>
            <w:r>
              <w:rPr>
                <w:sz w:val="18"/>
              </w:rPr>
              <w:t>Porte Ouest Porte rideau — pas isolation</w:t>
            </w:r>
          </w:p>
        </w:tc>
        <w:tc>
          <w:tcPr>
            <w:tcW w:type="dxa" w:w="1020"/>
            <w:shd w:val="clear" w:color="auto" w:fill="FFFFFF"/>
          </w:tcPr>
          <w:p>
            <w:r>
              <w:rPr>
                <w:sz w:val="18"/>
              </w:rPr>
              <w:t>—</w:t>
            </w:r>
          </w:p>
        </w:tc>
        <w:tc>
          <w:tcPr>
            <w:tcW w:type="dxa" w:w="3118"/>
            <w:shd w:val="clear" w:color="auto" w:fill="FFFFFF"/>
          </w:tcPr>
          <w:p>
            <w:r>
              <w:rPr>
                <w:sz w:val="14"/>
              </w:rPr>
              <w:t>? — ? cm</w:t>
            </w:r>
          </w:p>
        </w:tc>
        <w:tc>
          <w:tcPr>
            <w:tcW w:type="dxa" w:w="1020"/>
            <w:shd w:val="clear" w:color="auto" w:fill="FFFFFF"/>
          </w:tcPr>
          <w:p>
            <w:r>
              <w:rPr>
                <w:sz w:val="18"/>
              </w:rPr>
              <w:t>0.25</w:t>
            </w:r>
          </w:p>
        </w:tc>
        <w:tc>
          <w:tcPr>
            <w:tcW w:type="dxa" w:w="1361"/>
            <w:shd w:val="clear" w:color="auto" w:fill="FDECEA"/>
          </w:tcPr>
          <w:p>
            <w:pPr>
              <w:jc w:val="center"/>
            </w:pPr>
            <w:r>
              <w:rPr>
                <w:b/>
                <w:sz w:val="18"/>
              </w:rPr>
              <w:t>3</w:t>
            </w:r>
          </w:p>
        </w:tc>
      </w:tr>
      <w:tr>
        <w:tc>
          <w:tcPr>
            <w:tcW w:type="dxa" w:w="850"/>
            <w:shd w:val="clear" w:color="auto" w:fill="EBF3FA"/>
          </w:tcPr>
          <w:p>
            <w:r>
              <w:rPr>
                <w:sz w:val="18"/>
              </w:rPr>
              <w:t>Toiture</w:t>
            </w:r>
          </w:p>
        </w:tc>
        <w:tc>
          <w:tcPr>
            <w:tcW w:type="dxa" w:w="1701"/>
            <w:shd w:val="clear" w:color="auto" w:fill="EBF3FA"/>
          </w:tcPr>
          <w:p>
            <w:r>
              <w:rPr>
                <w:sz w:val="18"/>
              </w:rPr>
              <w:t>Toiture null Isolation insuffisante — condensation</w:t>
            </w:r>
          </w:p>
        </w:tc>
        <w:tc>
          <w:tcPr>
            <w:tcW w:type="dxa" w:w="1020"/>
            <w:shd w:val="clear" w:color="auto" w:fill="EBF3FA"/>
          </w:tcPr>
          <w:p>
            <w:r>
              <w:rPr>
                <w:sz w:val="18"/>
              </w:rPr>
              <w:t>Extérieur</w:t>
            </w:r>
          </w:p>
        </w:tc>
        <w:tc>
          <w:tcPr>
            <w:tcW w:type="dxa" w:w="3118"/>
            <w:shd w:val="clear" w:color="auto" w:fill="EBF3FA"/>
          </w:tcPr>
          <w:p>
            <w:r>
              <w:rPr>
                <w:sz w:val="14"/>
              </w:rPr>
              <w:t>? — ? cm</w:t>
            </w:r>
          </w:p>
          <w:p>
            <w:pPr>
              <w:spacing w:before="0" w:after="0"/>
            </w:pPr>
            <w:r>
              <w:rPr>
                <w:sz w:val="14"/>
              </w:rPr>
              <w:t>? — ? cm</w:t>
            </w:r>
          </w:p>
        </w:tc>
        <w:tc>
          <w:tcPr>
            <w:tcW w:type="dxa" w:w="1020"/>
            <w:shd w:val="clear" w:color="auto" w:fill="EBF3FA"/>
          </w:tcPr>
          <w:p>
            <w:r>
              <w:rPr>
                <w:sz w:val="18"/>
              </w:rPr>
              <w:t>1.54</w:t>
            </w:r>
          </w:p>
        </w:tc>
        <w:tc>
          <w:tcPr>
            <w:tcW w:type="dxa" w:w="1361"/>
            <w:shd w:val="clear" w:color="auto" w:fill="FDECEA"/>
          </w:tcPr>
          <w:p>
            <w:pPr>
              <w:jc w:val="center"/>
            </w:pPr>
            <w:r>
              <w:rPr>
                <w:b/>
                <w:sz w:val="18"/>
              </w:rPr>
              <w:t>3</w:t>
            </w:r>
          </w:p>
        </w:tc>
      </w:tr>
      <w:tr>
        <w:tc>
          <w:tcPr>
            <w:tcW w:type="dxa" w:w="850"/>
            <w:shd w:val="clear" w:color="auto" w:fill="FFFFFF"/>
          </w:tcPr>
          <w:p>
            <w:r>
              <w:rPr>
                <w:sz w:val="18"/>
              </w:rPr>
              <w:t>Vitrage</w:t>
            </w:r>
          </w:p>
        </w:tc>
        <w:tc>
          <w:tcPr>
            <w:tcW w:type="dxa" w:w="1701"/>
            <w:shd w:val="clear" w:color="auto" w:fill="FFFFFF"/>
          </w:tcPr>
          <w:p>
            <w:r>
              <w:rPr>
                <w:sz w:val="18"/>
              </w:rPr>
              <w:t>Vitrage Est Lanterneaux simple vitrage</w:t>
            </w:r>
          </w:p>
        </w:tc>
        <w:tc>
          <w:tcPr>
            <w:tcW w:type="dxa" w:w="1020"/>
            <w:shd w:val="clear" w:color="auto" w:fill="FFFFFF"/>
          </w:tcPr>
          <w:p>
            <w:r>
              <w:rPr>
                <w:sz w:val="18"/>
              </w:rPr>
              <w:t>—</w:t>
            </w:r>
          </w:p>
        </w:tc>
        <w:tc>
          <w:tcPr>
            <w:tcW w:type="dxa" w:w="3118"/>
            <w:shd w:val="clear" w:color="auto" w:fill="FFFFFF"/>
          </w:tcPr>
          <w:p>
            <w:r>
              <w:rPr>
                <w:sz w:val="14"/>
              </w:rPr>
              <w:t>? — ? cm</w:t>
            </w:r>
          </w:p>
        </w:tc>
        <w:tc>
          <w:tcPr>
            <w:tcW w:type="dxa" w:w="1020"/>
            <w:shd w:val="clear" w:color="auto" w:fill="FFFFFF"/>
          </w:tcPr>
          <w:p>
            <w:r>
              <w:rPr>
                <w:sz w:val="18"/>
              </w:rPr>
              <w:t>0.18</w:t>
            </w:r>
          </w:p>
        </w:tc>
        <w:tc>
          <w:tcPr>
            <w:tcW w:type="dxa" w:w="1361"/>
            <w:shd w:val="clear" w:color="auto" w:fill="FDECEA"/>
          </w:tcPr>
          <w:p>
            <w:pPr>
              <w:jc w:val="center"/>
            </w:pPr>
            <w:r>
              <w:rPr>
                <w:b/>
                <w:sz w:val="18"/>
              </w:rPr>
              <w:t>3</w:t>
            </w:r>
          </w:p>
        </w:tc>
      </w:tr>
    </w:tbl>
    <w:p>
      <w:r>
        <w:rPr>
          <w:i/>
          <w:color w:val="555555"/>
          <w:sz w:val="18"/>
        </w:rPr>
        <w:t>U moyen pondéré de la zone : 1,21 W/m².K</w:t>
      </w:r>
    </w:p>
    <w:p/>
    <w:p>
      <w:pPr>
        <w:shd w:val="clear" w:color="auto" w:fill="D6E4F0"/>
      </w:pPr>
      <w:r>
        <w:rPr>
          <w:b/>
          <w:color w:val="1F4E79"/>
          <w:sz w:val="22"/>
        </w:rPr>
        <w:t xml:space="preserve">  Zone : Local TGBT</w:t>
      </w:r>
    </w:p>
    <w:p>
      <w:r>
        <w:rPr>
          <w:color w:val="555555"/>
          <w:sz w:val="18"/>
        </w:rPr>
        <w:t>Surface : 40 m² | Hauteur : 3,5 m | Niveau : RDC | Bâtiment : Bâtiment principal</w:t>
      </w:r>
    </w:p>
    <w:p>
      <w:r>
        <w:rPr>
          <w:sz w:val="18"/>
        </w:rPr>
        <w:t>Aucune paroi renseignée pour cette zone.</w:t>
      </w:r>
    </w:p>
    <w:p/>
    <w:p>
      <w:pPr>
        <w:shd w:val="clear" w:color="auto" w:fill="D6E4F0"/>
      </w:pPr>
      <w:r>
        <w:rPr>
          <w:b/>
          <w:color w:val="1F4E79"/>
          <w:sz w:val="22"/>
        </w:rPr>
        <w:t xml:space="preserve">  Zone : Quai de chargement</w:t>
      </w:r>
    </w:p>
    <w:p>
      <w:r>
        <w:rPr>
          <w:color w:val="555555"/>
          <w:sz w:val="18"/>
        </w:rPr>
        <w:t>Surface : 200 m² | Hauteur : 6,0 m | Niveau : RDC | Bâtiment : Bâtiment principal</w:t>
      </w:r>
    </w:p>
    <w:p>
      <w:r>
        <w:rPr>
          <w:sz w:val="18"/>
        </w:rPr>
        <w:t>Aucune paroi renseignée pour cette zone.</w:t>
      </w:r>
    </w:p>
    <w:p/>
    <w:p>
      <w:pPr>
        <w:shd w:val="clear" w:color="auto" w:fill="D6E4F0"/>
      </w:pPr>
      <w:r>
        <w:rPr>
          <w:b/>
          <w:color w:val="1F4E79"/>
          <w:sz w:val="22"/>
        </w:rPr>
        <w:t xml:space="preserve">  Zone : Salle compresseurs</w:t>
      </w:r>
    </w:p>
    <w:p>
      <w:r>
        <w:rPr>
          <w:color w:val="555555"/>
          <w:sz w:val="18"/>
        </w:rPr>
        <w:t>Surface : 80 m² | Hauteur : 4,0 m | Niveau : RDC | Bâtiment : Bâtiment principal</w:t>
      </w:r>
    </w:p>
    <w:p>
      <w:r>
        <w:rPr>
          <w:sz w:val="18"/>
        </w:rPr>
        <w:t>Aucune paroi renseignée pour cette zone.</w:t>
      </w:r>
    </w:p>
    <w:p/>
    <w:p>
      <w:pPr>
        <w:shd w:val="clear" w:color="auto" w:fill="D6E4F0"/>
      </w:pPr>
      <w:r>
        <w:rPr>
          <w:b/>
          <w:color w:val="1F4E79"/>
          <w:sz w:val="22"/>
        </w:rPr>
        <w:t xml:space="preserve">  Zone : Stockage matières premières</w:t>
      </w:r>
    </w:p>
    <w:p>
      <w:r>
        <w:rPr>
          <w:color w:val="555555"/>
          <w:sz w:val="18"/>
        </w:rPr>
        <w:t>Surface : 400 m² | Hauteur : 8,0 m | Niveau : RDC | Bâtiment : Bâtiment principal</w:t>
      </w:r>
    </w:p>
    <w:p>
      <w:r>
        <w:rPr>
          <w:sz w:val="18"/>
        </w:rPr>
        <w:t>Aucune paroi renseignée pour cette zone.</w:t>
      </w:r>
    </w:p>
    <w:p/>
    <w:p>
      <w:pPr>
        <w:shd w:val="clear" w:color="auto" w:fill="D6E4F0"/>
      </w:pPr>
      <w:r>
        <w:rPr>
          <w:b/>
          <w:color w:val="1F4E79"/>
          <w:sz w:val="22"/>
        </w:rPr>
        <w:t xml:space="preserve">  Zone : Traitement thermique</w:t>
      </w:r>
    </w:p>
    <w:p>
      <w:r>
        <w:rPr>
          <w:color w:val="555555"/>
          <w:sz w:val="18"/>
        </w:rPr>
        <w:t>Surface : 250 m² | Hauteur : 8,0 m | Niveau : RDC | Bâtiment : Bâtiment principal</w:t>
      </w:r>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850"/>
            <w:shd w:val="clear" w:color="auto" w:fill="1F4E79"/>
          </w:tcPr>
          <w:p>
            <w:pPr>
              <w:jc w:val="center"/>
            </w:pPr>
            <w:r>
              <w:rPr>
                <w:b/>
                <w:color w:val="FFFFFF"/>
              </w:rPr>
              <w:t>Type</w:t>
            </w:r>
          </w:p>
        </w:tc>
        <w:tc>
          <w:tcPr>
            <w:tcW w:type="dxa" w:w="1701"/>
            <w:shd w:val="clear" w:color="auto" w:fill="1F4E79"/>
          </w:tcPr>
          <w:p>
            <w:pPr>
              <w:jc w:val="center"/>
            </w:pPr>
            <w:r>
              <w:rPr>
                <w:b/>
                <w:color w:val="FFFFFF"/>
              </w:rPr>
              <w:t>Nom / Description</w:t>
            </w:r>
          </w:p>
        </w:tc>
        <w:tc>
          <w:tcPr>
            <w:tcW w:type="dxa" w:w="1020"/>
            <w:shd w:val="clear" w:color="auto" w:fill="1F4E79"/>
          </w:tcPr>
          <w:p>
            <w:pPr>
              <w:jc w:val="center"/>
            </w:pPr>
            <w:r>
              <w:rPr>
                <w:b/>
                <w:color w:val="FFFFFF"/>
              </w:rPr>
              <w:t>Contact</w:t>
            </w:r>
          </w:p>
        </w:tc>
        <w:tc>
          <w:tcPr>
            <w:tcW w:type="dxa" w:w="3118"/>
            <w:shd w:val="clear" w:color="auto" w:fill="1F4E79"/>
          </w:tcPr>
          <w:p>
            <w:pPr>
              <w:jc w:val="center"/>
            </w:pPr>
            <w:r>
              <w:rPr>
                <w:b/>
                <w:color w:val="FFFFFF"/>
              </w:rPr>
              <w:t>Composition (ext → int)</w:t>
            </w:r>
          </w:p>
        </w:tc>
        <w:tc>
          <w:tcPr>
            <w:tcW w:type="dxa" w:w="1020"/>
            <w:shd w:val="clear" w:color="auto" w:fill="1F4E79"/>
          </w:tcPr>
          <w:p>
            <w:pPr>
              <w:jc w:val="center"/>
            </w:pPr>
            <w:r>
              <w:rPr>
                <w:b/>
                <w:color w:val="FFFFFF"/>
              </w:rPr>
              <w:t>R (m².K/W)</w:t>
            </w:r>
          </w:p>
        </w:tc>
        <w:tc>
          <w:tcPr>
            <w:tcW w:type="dxa" w:w="1361"/>
            <w:shd w:val="clear" w:color="auto" w:fill="1F4E79"/>
          </w:tcPr>
          <w:p>
            <w:pPr>
              <w:jc w:val="center"/>
            </w:pPr>
            <w:r>
              <w:rPr>
                <w:b/>
                <w:color w:val="FFFFFF"/>
              </w:rPr>
              <w:t>Appréciation RT</w:t>
            </w:r>
          </w:p>
        </w:tc>
      </w:tr>
      <w:tr>
        <w:tc>
          <w:tcPr>
            <w:tcW w:type="dxa" w:w="850"/>
            <w:shd w:val="clear" w:color="auto" w:fill="FFFFFF"/>
          </w:tcPr>
          <w:p>
            <w:r>
              <w:rPr>
                <w:sz w:val="18"/>
              </w:rPr>
              <w:t>Mur</w:t>
            </w:r>
          </w:p>
        </w:tc>
        <w:tc>
          <w:tcPr>
            <w:tcW w:type="dxa" w:w="1701"/>
            <w:shd w:val="clear" w:color="auto" w:fill="FFFFFF"/>
          </w:tcPr>
          <w:p>
            <w:r>
              <w:rPr>
                <w:sz w:val="18"/>
              </w:rPr>
              <w:t>Mur extérieur Ouest Mur béton brut</w:t>
            </w:r>
          </w:p>
        </w:tc>
        <w:tc>
          <w:tcPr>
            <w:tcW w:type="dxa" w:w="1020"/>
            <w:shd w:val="clear" w:color="auto" w:fill="FFFFFF"/>
          </w:tcPr>
          <w:p>
            <w:r>
              <w:rPr>
                <w:sz w:val="18"/>
              </w:rPr>
              <w:t>Extérieur</w:t>
            </w:r>
          </w:p>
        </w:tc>
        <w:tc>
          <w:tcPr>
            <w:tcW w:type="dxa" w:w="3118"/>
            <w:shd w:val="clear" w:color="auto" w:fill="FFFFFF"/>
          </w:tcPr>
          <w:p>
            <w:r>
              <w:rPr>
                <w:sz w:val="14"/>
              </w:rPr>
              <w:t>? — ? cm</w:t>
            </w:r>
          </w:p>
        </w:tc>
        <w:tc>
          <w:tcPr>
            <w:tcW w:type="dxa" w:w="1020"/>
            <w:shd w:val="clear" w:color="auto" w:fill="FFFFFF"/>
          </w:tcPr>
          <w:p>
            <w:r>
              <w:rPr>
                <w:sz w:val="18"/>
              </w:rPr>
              <w:t>0.56</w:t>
            </w:r>
          </w:p>
        </w:tc>
        <w:tc>
          <w:tcPr>
            <w:tcW w:type="dxa" w:w="1361"/>
            <w:shd w:val="clear" w:color="auto" w:fill="FDECEA"/>
          </w:tcPr>
          <w:p>
            <w:pPr>
              <w:jc w:val="center"/>
            </w:pPr>
            <w:r>
              <w:rPr>
                <w:b/>
                <w:sz w:val="18"/>
              </w:rPr>
              <w:t>3</w:t>
            </w:r>
          </w:p>
        </w:tc>
      </w:tr>
      <w:tr>
        <w:tc>
          <w:tcPr>
            <w:tcW w:type="dxa" w:w="850"/>
            <w:shd w:val="clear" w:color="auto" w:fill="EBF3FA"/>
          </w:tcPr>
          <w:p>
            <w:r>
              <w:rPr>
                <w:sz w:val="18"/>
              </w:rPr>
              <w:t>Toiture</w:t>
            </w:r>
          </w:p>
        </w:tc>
        <w:tc>
          <w:tcPr>
            <w:tcW w:type="dxa" w:w="1701"/>
            <w:shd w:val="clear" w:color="auto" w:fill="EBF3FA"/>
          </w:tcPr>
          <w:p>
            <w:r>
              <w:rPr>
                <w:sz w:val="18"/>
              </w:rPr>
              <w:t>Toiture null Identique bâtiment principal</w:t>
            </w:r>
          </w:p>
        </w:tc>
        <w:tc>
          <w:tcPr>
            <w:tcW w:type="dxa" w:w="1020"/>
            <w:shd w:val="clear" w:color="auto" w:fill="EBF3FA"/>
          </w:tcPr>
          <w:p>
            <w:r>
              <w:rPr>
                <w:sz w:val="18"/>
              </w:rPr>
              <w:t>Extérieur</w:t>
            </w:r>
          </w:p>
        </w:tc>
        <w:tc>
          <w:tcPr>
            <w:tcW w:type="dxa" w:w="3118"/>
            <w:shd w:val="clear" w:color="auto" w:fill="EBF3FA"/>
          </w:tcPr>
          <w:p>
            <w:r>
              <w:rPr>
                <w:sz w:val="14"/>
              </w:rPr>
              <w:t>? — ? cm</w:t>
            </w:r>
          </w:p>
          <w:p>
            <w:pPr>
              <w:spacing w:before="0" w:after="0"/>
            </w:pPr>
            <w:r>
              <w:rPr>
                <w:sz w:val="14"/>
              </w:rPr>
              <w:t>? — ? cm</w:t>
            </w:r>
          </w:p>
        </w:tc>
        <w:tc>
          <w:tcPr>
            <w:tcW w:type="dxa" w:w="1020"/>
            <w:shd w:val="clear" w:color="auto" w:fill="EBF3FA"/>
          </w:tcPr>
          <w:p>
            <w:r>
              <w:rPr>
                <w:sz w:val="18"/>
              </w:rPr>
              <w:t>1.54</w:t>
            </w:r>
          </w:p>
        </w:tc>
        <w:tc>
          <w:tcPr>
            <w:tcW w:type="dxa" w:w="1361"/>
            <w:shd w:val="clear" w:color="auto" w:fill="FDECEA"/>
          </w:tcPr>
          <w:p>
            <w:pPr>
              <w:jc w:val="center"/>
            </w:pPr>
            <w:r>
              <w:rPr>
                <w:b/>
                <w:sz w:val="18"/>
              </w:rPr>
              <w:t>3</w:t>
            </w:r>
          </w:p>
        </w:tc>
      </w:tr>
    </w:tbl>
    <w:p>
      <w:r>
        <w:rPr>
          <w:i/>
          <w:color w:val="555555"/>
          <w:sz w:val="18"/>
        </w:rPr>
        <w:t>U moyen pondéré de la zone : 0,87 W/m².K</w:t>
      </w:r>
    </w:p>
    <w:p/>
    <w:p>
      <w:pPr>
        <w:shd w:val="clear" w:color="auto" w:fill="D6E4F0"/>
      </w:pPr>
      <w:r>
        <w:rPr>
          <w:b/>
          <w:color w:val="1F4E79"/>
          <w:sz w:val="22"/>
        </w:rPr>
        <w:t xml:space="preserve">  Zone : Zone de coulée</w:t>
      </w:r>
    </w:p>
    <w:p>
      <w:r>
        <w:rPr>
          <w:color w:val="555555"/>
          <w:sz w:val="18"/>
        </w:rPr>
        <w:t>Surface : 350 m² | Hauteur : 10,0 m | Niveau : RDC | Bâtiment : Bâtiment principal</w:t>
      </w:r>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850"/>
            <w:shd w:val="clear" w:color="auto" w:fill="1F4E79"/>
          </w:tcPr>
          <w:p>
            <w:pPr>
              <w:jc w:val="center"/>
            </w:pPr>
            <w:r>
              <w:rPr>
                <w:b/>
                <w:color w:val="FFFFFF"/>
              </w:rPr>
              <w:t>Type</w:t>
            </w:r>
          </w:p>
        </w:tc>
        <w:tc>
          <w:tcPr>
            <w:tcW w:type="dxa" w:w="1701"/>
            <w:shd w:val="clear" w:color="auto" w:fill="1F4E79"/>
          </w:tcPr>
          <w:p>
            <w:pPr>
              <w:jc w:val="center"/>
            </w:pPr>
            <w:r>
              <w:rPr>
                <w:b/>
                <w:color w:val="FFFFFF"/>
              </w:rPr>
              <w:t>Nom / Description</w:t>
            </w:r>
          </w:p>
        </w:tc>
        <w:tc>
          <w:tcPr>
            <w:tcW w:type="dxa" w:w="1020"/>
            <w:shd w:val="clear" w:color="auto" w:fill="1F4E79"/>
          </w:tcPr>
          <w:p>
            <w:pPr>
              <w:jc w:val="center"/>
            </w:pPr>
            <w:r>
              <w:rPr>
                <w:b/>
                <w:color w:val="FFFFFF"/>
              </w:rPr>
              <w:t>Contact</w:t>
            </w:r>
          </w:p>
        </w:tc>
        <w:tc>
          <w:tcPr>
            <w:tcW w:type="dxa" w:w="3118"/>
            <w:shd w:val="clear" w:color="auto" w:fill="1F4E79"/>
          </w:tcPr>
          <w:p>
            <w:pPr>
              <w:jc w:val="center"/>
            </w:pPr>
            <w:r>
              <w:rPr>
                <w:b/>
                <w:color w:val="FFFFFF"/>
              </w:rPr>
              <w:t>Composition (ext → int)</w:t>
            </w:r>
          </w:p>
        </w:tc>
        <w:tc>
          <w:tcPr>
            <w:tcW w:type="dxa" w:w="1020"/>
            <w:shd w:val="clear" w:color="auto" w:fill="1F4E79"/>
          </w:tcPr>
          <w:p>
            <w:pPr>
              <w:jc w:val="center"/>
            </w:pPr>
            <w:r>
              <w:rPr>
                <w:b/>
                <w:color w:val="FFFFFF"/>
              </w:rPr>
              <w:t>R (m².K/W)</w:t>
            </w:r>
          </w:p>
        </w:tc>
        <w:tc>
          <w:tcPr>
            <w:tcW w:type="dxa" w:w="1361"/>
            <w:shd w:val="clear" w:color="auto" w:fill="1F4E79"/>
          </w:tcPr>
          <w:p>
            <w:pPr>
              <w:jc w:val="center"/>
            </w:pPr>
            <w:r>
              <w:rPr>
                <w:b/>
                <w:color w:val="FFFFFF"/>
              </w:rPr>
              <w:t>Appréciation RT</w:t>
            </w:r>
          </w:p>
        </w:tc>
      </w:tr>
      <w:tr>
        <w:tc>
          <w:tcPr>
            <w:tcW w:type="dxa" w:w="850"/>
            <w:shd w:val="clear" w:color="auto" w:fill="FFFFFF"/>
          </w:tcPr>
          <w:p>
            <w:r>
              <w:rPr>
                <w:sz w:val="18"/>
              </w:rPr>
              <w:t>Mur</w:t>
            </w:r>
          </w:p>
        </w:tc>
        <w:tc>
          <w:tcPr>
            <w:tcW w:type="dxa" w:w="1701"/>
            <w:shd w:val="clear" w:color="auto" w:fill="FFFFFF"/>
          </w:tcPr>
          <w:p>
            <w:r>
              <w:rPr>
                <w:sz w:val="18"/>
              </w:rPr>
              <w:t>Mur extérieur Nord Mur béton brut</w:t>
            </w:r>
          </w:p>
        </w:tc>
        <w:tc>
          <w:tcPr>
            <w:tcW w:type="dxa" w:w="1020"/>
            <w:shd w:val="clear" w:color="auto" w:fill="FFFFFF"/>
          </w:tcPr>
          <w:p>
            <w:r>
              <w:rPr>
                <w:sz w:val="18"/>
              </w:rPr>
              <w:t>Extérieur</w:t>
            </w:r>
          </w:p>
        </w:tc>
        <w:tc>
          <w:tcPr>
            <w:tcW w:type="dxa" w:w="3118"/>
            <w:shd w:val="clear" w:color="auto" w:fill="FFFFFF"/>
          </w:tcPr>
          <w:p>
            <w:r>
              <w:rPr>
                <w:sz w:val="14"/>
              </w:rPr>
              <w:t>? — ? cm</w:t>
            </w:r>
          </w:p>
        </w:tc>
        <w:tc>
          <w:tcPr>
            <w:tcW w:type="dxa" w:w="1020"/>
            <w:shd w:val="clear" w:color="auto" w:fill="FFFFFF"/>
          </w:tcPr>
          <w:p>
            <w:r>
              <w:rPr>
                <w:sz w:val="18"/>
              </w:rPr>
              <w:t>0.56</w:t>
            </w:r>
          </w:p>
        </w:tc>
        <w:tc>
          <w:tcPr>
            <w:tcW w:type="dxa" w:w="1361"/>
            <w:shd w:val="clear" w:color="auto" w:fill="FDECEA"/>
          </w:tcPr>
          <w:p>
            <w:pPr>
              <w:jc w:val="center"/>
            </w:pPr>
            <w:r>
              <w:rPr>
                <w:b/>
                <w:sz w:val="18"/>
              </w:rPr>
              <w:t>3</w:t>
            </w:r>
          </w:p>
        </w:tc>
      </w:tr>
      <w:tr>
        <w:tc>
          <w:tcPr>
            <w:tcW w:type="dxa" w:w="850"/>
            <w:shd w:val="clear" w:color="auto" w:fill="EBF3FA"/>
          </w:tcPr>
          <w:p>
            <w:r>
              <w:rPr>
                <w:sz w:val="18"/>
              </w:rPr>
              <w:t>Toiture</w:t>
            </w:r>
          </w:p>
        </w:tc>
        <w:tc>
          <w:tcPr>
            <w:tcW w:type="dxa" w:w="1701"/>
            <w:shd w:val="clear" w:color="auto" w:fill="EBF3FA"/>
          </w:tcPr>
          <w:p>
            <w:r>
              <w:rPr>
                <w:sz w:val="18"/>
              </w:rPr>
              <w:t>Toiture null Identique hall fusion</w:t>
            </w:r>
          </w:p>
        </w:tc>
        <w:tc>
          <w:tcPr>
            <w:tcW w:type="dxa" w:w="1020"/>
            <w:shd w:val="clear" w:color="auto" w:fill="EBF3FA"/>
          </w:tcPr>
          <w:p>
            <w:r>
              <w:rPr>
                <w:sz w:val="18"/>
              </w:rPr>
              <w:t>Extérieur</w:t>
            </w:r>
          </w:p>
        </w:tc>
        <w:tc>
          <w:tcPr>
            <w:tcW w:type="dxa" w:w="3118"/>
            <w:shd w:val="clear" w:color="auto" w:fill="EBF3FA"/>
          </w:tcPr>
          <w:p>
            <w:r>
              <w:rPr>
                <w:sz w:val="14"/>
              </w:rPr>
              <w:t>? — ? cm</w:t>
            </w:r>
          </w:p>
          <w:p>
            <w:pPr>
              <w:spacing w:before="0" w:after="0"/>
            </w:pPr>
            <w:r>
              <w:rPr>
                <w:sz w:val="14"/>
              </w:rPr>
              <w:t>? — ? cm</w:t>
            </w:r>
          </w:p>
        </w:tc>
        <w:tc>
          <w:tcPr>
            <w:tcW w:type="dxa" w:w="1020"/>
            <w:shd w:val="clear" w:color="auto" w:fill="EBF3FA"/>
          </w:tcPr>
          <w:p>
            <w:r>
              <w:rPr>
                <w:sz w:val="18"/>
              </w:rPr>
              <w:t>1.54</w:t>
            </w:r>
          </w:p>
        </w:tc>
        <w:tc>
          <w:tcPr>
            <w:tcW w:type="dxa" w:w="1361"/>
            <w:shd w:val="clear" w:color="auto" w:fill="FDECEA"/>
          </w:tcPr>
          <w:p>
            <w:pPr>
              <w:jc w:val="center"/>
            </w:pPr>
            <w:r>
              <w:rPr>
                <w:b/>
                <w:sz w:val="18"/>
              </w:rPr>
              <w:t>3</w:t>
            </w:r>
          </w:p>
        </w:tc>
      </w:tr>
    </w:tbl>
    <w:p>
      <w:r>
        <w:rPr>
          <w:i/>
          <w:color w:val="555555"/>
          <w:sz w:val="18"/>
        </w:rPr>
        <w:t>U moyen pondéré de la zone : 0,91 W/m².K</w:t>
      </w:r>
    </w:p>
    <w:p/>
    <w:p>
      <w:pPr>
        <w:shd w:val="clear" w:color="auto" w:fill="D6E4F0"/>
      </w:pPr>
      <w:r>
        <w:rPr>
          <w:b/>
          <w:color w:val="1F4E79"/>
          <w:sz w:val="22"/>
        </w:rPr>
        <w:t xml:space="preserve">  Zone : Accueil</w:t>
      </w:r>
    </w:p>
    <w:p>
      <w:r>
        <w:rPr>
          <w:color w:val="555555"/>
          <w:sz w:val="18"/>
        </w:rPr>
        <w:t>Surface : 25 m² | Hauteur : 2,8 m | Niveau : RDC | Bâtiment : Bâtiment tertiaire</w:t>
      </w:r>
    </w:p>
    <w:p>
      <w:r>
        <w:rPr>
          <w:sz w:val="18"/>
        </w:rPr>
        <w:t>Aucune paroi renseignée pour cette zone.</w:t>
      </w:r>
    </w:p>
    <w:p/>
    <w:p>
      <w:pPr>
        <w:shd w:val="clear" w:color="auto" w:fill="D6E4F0"/>
      </w:pPr>
      <w:r>
        <w:rPr>
          <w:b/>
          <w:color w:val="1F4E79"/>
          <w:sz w:val="22"/>
        </w:rPr>
        <w:t xml:space="preserve">  Zone : Bureaux administration</w:t>
      </w:r>
    </w:p>
    <w:p>
      <w:r>
        <w:rPr>
          <w:color w:val="555555"/>
          <w:sz w:val="18"/>
        </w:rPr>
        <w:t>Surface : 180 m² | Hauteur : 2,8 m | Niveau : RDC | Bâtiment : Bâtiment tertiaire</w:t>
      </w:r>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850"/>
            <w:shd w:val="clear" w:color="auto" w:fill="1F4E79"/>
          </w:tcPr>
          <w:p>
            <w:pPr>
              <w:jc w:val="center"/>
            </w:pPr>
            <w:r>
              <w:rPr>
                <w:b/>
                <w:color w:val="FFFFFF"/>
              </w:rPr>
              <w:t>Type</w:t>
            </w:r>
          </w:p>
        </w:tc>
        <w:tc>
          <w:tcPr>
            <w:tcW w:type="dxa" w:w="1701"/>
            <w:shd w:val="clear" w:color="auto" w:fill="1F4E79"/>
          </w:tcPr>
          <w:p>
            <w:pPr>
              <w:jc w:val="center"/>
            </w:pPr>
            <w:r>
              <w:rPr>
                <w:b/>
                <w:color w:val="FFFFFF"/>
              </w:rPr>
              <w:t>Nom / Description</w:t>
            </w:r>
          </w:p>
        </w:tc>
        <w:tc>
          <w:tcPr>
            <w:tcW w:type="dxa" w:w="1020"/>
            <w:shd w:val="clear" w:color="auto" w:fill="1F4E79"/>
          </w:tcPr>
          <w:p>
            <w:pPr>
              <w:jc w:val="center"/>
            </w:pPr>
            <w:r>
              <w:rPr>
                <w:b/>
                <w:color w:val="FFFFFF"/>
              </w:rPr>
              <w:t>Contact</w:t>
            </w:r>
          </w:p>
        </w:tc>
        <w:tc>
          <w:tcPr>
            <w:tcW w:type="dxa" w:w="3118"/>
            <w:shd w:val="clear" w:color="auto" w:fill="1F4E79"/>
          </w:tcPr>
          <w:p>
            <w:pPr>
              <w:jc w:val="center"/>
            </w:pPr>
            <w:r>
              <w:rPr>
                <w:b/>
                <w:color w:val="FFFFFF"/>
              </w:rPr>
              <w:t>Composition (ext → int)</w:t>
            </w:r>
          </w:p>
        </w:tc>
        <w:tc>
          <w:tcPr>
            <w:tcW w:type="dxa" w:w="1020"/>
            <w:shd w:val="clear" w:color="auto" w:fill="1F4E79"/>
          </w:tcPr>
          <w:p>
            <w:pPr>
              <w:jc w:val="center"/>
            </w:pPr>
            <w:r>
              <w:rPr>
                <w:b/>
                <w:color w:val="FFFFFF"/>
              </w:rPr>
              <w:t>R (m².K/W)</w:t>
            </w:r>
          </w:p>
        </w:tc>
        <w:tc>
          <w:tcPr>
            <w:tcW w:type="dxa" w:w="1361"/>
            <w:shd w:val="clear" w:color="auto" w:fill="1F4E79"/>
          </w:tcPr>
          <w:p>
            <w:pPr>
              <w:jc w:val="center"/>
            </w:pPr>
            <w:r>
              <w:rPr>
                <w:b/>
                <w:color w:val="FFFFFF"/>
              </w:rPr>
              <w:t>Appréciation RT</w:t>
            </w:r>
          </w:p>
        </w:tc>
      </w:tr>
      <w:tr>
        <w:tc>
          <w:tcPr>
            <w:tcW w:type="dxa" w:w="850"/>
            <w:shd w:val="clear" w:color="auto" w:fill="FFFFFF"/>
          </w:tcPr>
          <w:p>
            <w:r>
              <w:rPr>
                <w:sz w:val="18"/>
              </w:rPr>
              <w:t>Mur</w:t>
            </w:r>
          </w:p>
        </w:tc>
        <w:tc>
          <w:tcPr>
            <w:tcW w:type="dxa" w:w="1701"/>
            <w:shd w:val="clear" w:color="auto" w:fill="FFFFFF"/>
          </w:tcPr>
          <w:p>
            <w:r>
              <w:rPr>
                <w:sz w:val="18"/>
              </w:rPr>
              <w:t>Mur extérieur Ouest Identique mur Sud</w:t>
            </w:r>
          </w:p>
        </w:tc>
        <w:tc>
          <w:tcPr>
            <w:tcW w:type="dxa" w:w="1020"/>
            <w:shd w:val="clear" w:color="auto" w:fill="FFFFFF"/>
          </w:tcPr>
          <w:p>
            <w:r>
              <w:rPr>
                <w:sz w:val="18"/>
              </w:rPr>
              <w:t>Extérieur</w:t>
            </w:r>
          </w:p>
        </w:tc>
        <w:tc>
          <w:tcPr>
            <w:tcW w:type="dxa" w:w="3118"/>
            <w:shd w:val="clear" w:color="auto" w:fill="FFFFFF"/>
          </w:tcPr>
          <w:p>
            <w:r>
              <w:rPr>
                <w:sz w:val="14"/>
              </w:rPr>
              <w:t>? — ? cm</w:t>
            </w:r>
          </w:p>
          <w:p>
            <w:pPr>
              <w:spacing w:before="0" w:after="0"/>
            </w:pPr>
            <w:r>
              <w:rPr>
                <w:sz w:val="14"/>
              </w:rPr>
              <w:t>? — ? cm</w:t>
            </w:r>
          </w:p>
          <w:p>
            <w:pPr>
              <w:spacing w:before="0" w:after="0"/>
            </w:pPr>
            <w:r>
              <w:rPr>
                <w:sz w:val="14"/>
              </w:rPr>
              <w:t>? — ? cm</w:t>
            </w:r>
          </w:p>
        </w:tc>
        <w:tc>
          <w:tcPr>
            <w:tcW w:type="dxa" w:w="1020"/>
            <w:shd w:val="clear" w:color="auto" w:fill="FFFFFF"/>
          </w:tcPr>
          <w:p>
            <w:r>
              <w:rPr>
                <w:sz w:val="18"/>
              </w:rPr>
              <w:t>2.63</w:t>
            </w:r>
          </w:p>
        </w:tc>
        <w:tc>
          <w:tcPr>
            <w:tcW w:type="dxa" w:w="1361"/>
            <w:shd w:val="clear" w:color="auto" w:fill="FFF3E0"/>
          </w:tcPr>
          <w:p>
            <w:pPr>
              <w:jc w:val="center"/>
            </w:pPr>
            <w:r>
              <w:rPr>
                <w:b/>
                <w:sz w:val="18"/>
              </w:rPr>
              <w:t>2</w:t>
            </w:r>
          </w:p>
        </w:tc>
      </w:tr>
      <w:tr>
        <w:tc>
          <w:tcPr>
            <w:tcW w:type="dxa" w:w="850"/>
            <w:shd w:val="clear" w:color="auto" w:fill="EBF3FA"/>
          </w:tcPr>
          <w:p>
            <w:r>
              <w:rPr>
                <w:sz w:val="18"/>
              </w:rPr>
              <w:t>Mur</w:t>
            </w:r>
          </w:p>
        </w:tc>
        <w:tc>
          <w:tcPr>
            <w:tcW w:type="dxa" w:w="1701"/>
            <w:shd w:val="clear" w:color="auto" w:fill="EBF3FA"/>
          </w:tcPr>
          <w:p>
            <w:r>
              <w:rPr>
                <w:sz w:val="18"/>
              </w:rPr>
              <w:t>Mur extérieur Sud Mur isolé ITI — rénovation 2015</w:t>
            </w:r>
          </w:p>
        </w:tc>
        <w:tc>
          <w:tcPr>
            <w:tcW w:type="dxa" w:w="1020"/>
            <w:shd w:val="clear" w:color="auto" w:fill="EBF3FA"/>
          </w:tcPr>
          <w:p>
            <w:r>
              <w:rPr>
                <w:sz w:val="18"/>
              </w:rPr>
              <w:t>Extérieur</w:t>
            </w:r>
          </w:p>
        </w:tc>
        <w:tc>
          <w:tcPr>
            <w:tcW w:type="dxa" w:w="3118"/>
            <w:shd w:val="clear" w:color="auto" w:fill="EBF3FA"/>
          </w:tcPr>
          <w:p>
            <w:r>
              <w:rPr>
                <w:sz w:val="14"/>
              </w:rPr>
              <w:t>? — ? cm</w:t>
            </w:r>
          </w:p>
          <w:p>
            <w:pPr>
              <w:spacing w:before="0" w:after="0"/>
            </w:pPr>
            <w:r>
              <w:rPr>
                <w:sz w:val="14"/>
              </w:rPr>
              <w:t>? — ? cm</w:t>
            </w:r>
          </w:p>
          <w:p>
            <w:pPr>
              <w:spacing w:before="0" w:after="0"/>
            </w:pPr>
            <w:r>
              <w:rPr>
                <w:sz w:val="14"/>
              </w:rPr>
              <w:t>? — ? cm</w:t>
            </w:r>
          </w:p>
        </w:tc>
        <w:tc>
          <w:tcPr>
            <w:tcW w:type="dxa" w:w="1020"/>
            <w:shd w:val="clear" w:color="auto" w:fill="EBF3FA"/>
          </w:tcPr>
          <w:p>
            <w:r>
              <w:rPr>
                <w:sz w:val="18"/>
              </w:rPr>
              <w:t>2.63</w:t>
            </w:r>
          </w:p>
        </w:tc>
        <w:tc>
          <w:tcPr>
            <w:tcW w:type="dxa" w:w="1361"/>
            <w:shd w:val="clear" w:color="auto" w:fill="FFF3E0"/>
          </w:tcPr>
          <w:p>
            <w:pPr>
              <w:jc w:val="center"/>
            </w:pPr>
            <w:r>
              <w:rPr>
                <w:b/>
                <w:sz w:val="18"/>
              </w:rPr>
              <w:t>2</w:t>
            </w:r>
          </w:p>
        </w:tc>
      </w:tr>
      <w:tr>
        <w:tc>
          <w:tcPr>
            <w:tcW w:type="dxa" w:w="850"/>
            <w:shd w:val="clear" w:color="auto" w:fill="FFFFFF"/>
          </w:tcPr>
          <w:p>
            <w:r>
              <w:rPr>
                <w:sz w:val="18"/>
              </w:rPr>
              <w:t>plancher</w:t>
            </w:r>
          </w:p>
        </w:tc>
        <w:tc>
          <w:tcPr>
            <w:tcW w:type="dxa" w:w="1701"/>
            <w:shd w:val="clear" w:color="auto" w:fill="FFFFFF"/>
          </w:tcPr>
          <w:p>
            <w:r>
              <w:rPr>
                <w:sz w:val="18"/>
              </w:rPr>
              <w:t>plancher null Plancher sur terre-plein isolé</w:t>
            </w:r>
          </w:p>
        </w:tc>
        <w:tc>
          <w:tcPr>
            <w:tcW w:type="dxa" w:w="1020"/>
            <w:shd w:val="clear" w:color="auto" w:fill="FFFFFF"/>
          </w:tcPr>
          <w:p>
            <w:r>
              <w:rPr>
                <w:sz w:val="18"/>
              </w:rPr>
              <w:t>—</w:t>
            </w:r>
          </w:p>
        </w:tc>
        <w:tc>
          <w:tcPr>
            <w:tcW w:type="dxa" w:w="3118"/>
            <w:shd w:val="clear" w:color="auto" w:fill="FFFFFF"/>
          </w:tcPr>
          <w:p>
            <w:r>
              <w:rPr>
                <w:sz w:val="14"/>
              </w:rPr>
              <w:t>? — ? cm</w:t>
            </w:r>
          </w:p>
          <w:p>
            <w:pPr>
              <w:spacing w:before="0" w:after="0"/>
            </w:pPr>
            <w:r>
              <w:rPr>
                <w:sz w:val="14"/>
              </w:rPr>
              <w:t>? — ? cm</w:t>
            </w:r>
          </w:p>
        </w:tc>
        <w:tc>
          <w:tcPr>
            <w:tcW w:type="dxa" w:w="1020"/>
            <w:shd w:val="clear" w:color="auto" w:fill="FFFFFF"/>
          </w:tcPr>
          <w:p>
            <w:r>
              <w:rPr>
                <w:sz w:val="18"/>
              </w:rPr>
              <w:t>2.86</w:t>
            </w:r>
          </w:p>
        </w:tc>
        <w:tc>
          <w:tcPr>
            <w:tcW w:type="dxa" w:w="1361"/>
            <w:shd w:val="clear" w:color="auto" w:fill="F5F5F5"/>
          </w:tcPr>
          <w:p>
            <w:pPr>
              <w:jc w:val="center"/>
            </w:pPr>
            <w:r>
              <w:rPr>
                <w:b/>
                <w:sz w:val="18"/>
              </w:rPr>
              <w:t>NC</w:t>
            </w:r>
          </w:p>
        </w:tc>
      </w:tr>
      <w:tr>
        <w:tc>
          <w:tcPr>
            <w:tcW w:type="dxa" w:w="850"/>
            <w:shd w:val="clear" w:color="auto" w:fill="EBF3FA"/>
          </w:tcPr>
          <w:p>
            <w:r>
              <w:rPr>
                <w:sz w:val="18"/>
              </w:rPr>
              <w:t>Toiture</w:t>
            </w:r>
          </w:p>
        </w:tc>
        <w:tc>
          <w:tcPr>
            <w:tcW w:type="dxa" w:w="1701"/>
            <w:shd w:val="clear" w:color="auto" w:fill="EBF3FA"/>
          </w:tcPr>
          <w:p>
            <w:r>
              <w:rPr>
                <w:sz w:val="18"/>
              </w:rPr>
              <w:t>Toiture null Toiture terrasse isolée</w:t>
            </w:r>
          </w:p>
        </w:tc>
        <w:tc>
          <w:tcPr>
            <w:tcW w:type="dxa" w:w="1020"/>
            <w:shd w:val="clear" w:color="auto" w:fill="EBF3FA"/>
          </w:tcPr>
          <w:p>
            <w:r>
              <w:rPr>
                <w:sz w:val="18"/>
              </w:rPr>
              <w:t>Extérieur</w:t>
            </w:r>
          </w:p>
        </w:tc>
        <w:tc>
          <w:tcPr>
            <w:tcW w:type="dxa" w:w="3118"/>
            <w:shd w:val="clear" w:color="auto" w:fill="EBF3FA"/>
          </w:tcPr>
          <w:p>
            <w:r>
              <w:rPr>
                <w:sz w:val="14"/>
              </w:rPr>
              <w:t>? — ? cm</w:t>
            </w:r>
          </w:p>
          <w:p>
            <w:pPr>
              <w:spacing w:before="0" w:after="0"/>
            </w:pPr>
            <w:r>
              <w:rPr>
                <w:sz w:val="14"/>
              </w:rPr>
              <w:t>? — ? cm</w:t>
            </w:r>
          </w:p>
        </w:tc>
        <w:tc>
          <w:tcPr>
            <w:tcW w:type="dxa" w:w="1020"/>
            <w:shd w:val="clear" w:color="auto" w:fill="EBF3FA"/>
          </w:tcPr>
          <w:p>
            <w:r>
              <w:rPr>
                <w:sz w:val="18"/>
              </w:rPr>
              <w:t>4.55</w:t>
            </w:r>
          </w:p>
        </w:tc>
        <w:tc>
          <w:tcPr>
            <w:tcW w:type="dxa" w:w="1361"/>
            <w:shd w:val="clear" w:color="auto" w:fill="FFF3E0"/>
          </w:tcPr>
          <w:p>
            <w:pPr>
              <w:jc w:val="center"/>
            </w:pPr>
            <w:r>
              <w:rPr>
                <w:b/>
                <w:sz w:val="18"/>
              </w:rPr>
              <w:t>2</w:t>
            </w:r>
          </w:p>
        </w:tc>
      </w:tr>
      <w:tr>
        <w:tc>
          <w:tcPr>
            <w:tcW w:type="dxa" w:w="850"/>
            <w:shd w:val="clear" w:color="auto" w:fill="FFFFFF"/>
          </w:tcPr>
          <w:p>
            <w:r>
              <w:rPr>
                <w:sz w:val="18"/>
              </w:rPr>
              <w:t>Vitrage</w:t>
            </w:r>
          </w:p>
        </w:tc>
        <w:tc>
          <w:tcPr>
            <w:tcW w:type="dxa" w:w="1701"/>
            <w:shd w:val="clear" w:color="auto" w:fill="FFFFFF"/>
          </w:tcPr>
          <w:p>
            <w:r>
              <w:rPr>
                <w:sz w:val="18"/>
              </w:rPr>
              <w:t>Vitrage Sud PVC double vitrage 2015</w:t>
            </w:r>
          </w:p>
        </w:tc>
        <w:tc>
          <w:tcPr>
            <w:tcW w:type="dxa" w:w="1020"/>
            <w:shd w:val="clear" w:color="auto" w:fill="FFFFFF"/>
          </w:tcPr>
          <w:p>
            <w:r>
              <w:rPr>
                <w:sz w:val="18"/>
              </w:rPr>
              <w:t>—</w:t>
            </w:r>
          </w:p>
        </w:tc>
        <w:tc>
          <w:tcPr>
            <w:tcW w:type="dxa" w:w="3118"/>
            <w:shd w:val="clear" w:color="auto" w:fill="FFFFFF"/>
          </w:tcPr>
          <w:p>
            <w:r>
              <w:rPr>
                <w:sz w:val="14"/>
              </w:rPr>
              <w:t>? — ? cm</w:t>
            </w:r>
          </w:p>
        </w:tc>
        <w:tc>
          <w:tcPr>
            <w:tcW w:type="dxa" w:w="1020"/>
            <w:shd w:val="clear" w:color="auto" w:fill="FFFFFF"/>
          </w:tcPr>
          <w:p>
            <w:r>
              <w:rPr>
                <w:sz w:val="18"/>
              </w:rPr>
              <w:t>0.67</w:t>
            </w:r>
          </w:p>
        </w:tc>
        <w:tc>
          <w:tcPr>
            <w:tcW w:type="dxa" w:w="1361"/>
            <w:shd w:val="clear" w:color="auto" w:fill="E8F5E9"/>
          </w:tcPr>
          <w:p>
            <w:pPr>
              <w:jc w:val="center"/>
            </w:pPr>
            <w:r>
              <w:rPr>
                <w:b/>
                <w:sz w:val="18"/>
              </w:rPr>
              <w:t>1</w:t>
            </w:r>
          </w:p>
        </w:tc>
      </w:tr>
    </w:tbl>
    <w:p>
      <w:r>
        <w:rPr>
          <w:i/>
          <w:color w:val="555555"/>
          <w:sz w:val="18"/>
        </w:rPr>
        <w:t>U moyen pondéré de la zone : 0,38 W/m².K</w:t>
      </w:r>
    </w:p>
    <w:p/>
    <w:p>
      <w:pPr>
        <w:shd w:val="clear" w:color="auto" w:fill="D6E4F0"/>
      </w:pPr>
      <w:r>
        <w:rPr>
          <w:b/>
          <w:color w:val="1F4E79"/>
          <w:sz w:val="22"/>
        </w:rPr>
        <w:t xml:space="preserve">  Zone : Réfectoire</w:t>
      </w:r>
    </w:p>
    <w:p>
      <w:r>
        <w:rPr>
          <w:color w:val="555555"/>
          <w:sz w:val="18"/>
        </w:rPr>
        <w:t>Surface : 90 m² | Hauteur : 2,8 m | Niveau : RDC | Bâtiment : Bâtiment tertiaire</w:t>
      </w:r>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850"/>
            <w:shd w:val="clear" w:color="auto" w:fill="1F4E79"/>
          </w:tcPr>
          <w:p>
            <w:pPr>
              <w:jc w:val="center"/>
            </w:pPr>
            <w:r>
              <w:rPr>
                <w:b/>
                <w:color w:val="FFFFFF"/>
              </w:rPr>
              <w:t>Type</w:t>
            </w:r>
          </w:p>
        </w:tc>
        <w:tc>
          <w:tcPr>
            <w:tcW w:type="dxa" w:w="1701"/>
            <w:shd w:val="clear" w:color="auto" w:fill="1F4E79"/>
          </w:tcPr>
          <w:p>
            <w:pPr>
              <w:jc w:val="center"/>
            </w:pPr>
            <w:r>
              <w:rPr>
                <w:b/>
                <w:color w:val="FFFFFF"/>
              </w:rPr>
              <w:t>Nom / Description</w:t>
            </w:r>
          </w:p>
        </w:tc>
        <w:tc>
          <w:tcPr>
            <w:tcW w:type="dxa" w:w="1020"/>
            <w:shd w:val="clear" w:color="auto" w:fill="1F4E79"/>
          </w:tcPr>
          <w:p>
            <w:pPr>
              <w:jc w:val="center"/>
            </w:pPr>
            <w:r>
              <w:rPr>
                <w:b/>
                <w:color w:val="FFFFFF"/>
              </w:rPr>
              <w:t>Contact</w:t>
            </w:r>
          </w:p>
        </w:tc>
        <w:tc>
          <w:tcPr>
            <w:tcW w:type="dxa" w:w="3118"/>
            <w:shd w:val="clear" w:color="auto" w:fill="1F4E79"/>
          </w:tcPr>
          <w:p>
            <w:pPr>
              <w:jc w:val="center"/>
            </w:pPr>
            <w:r>
              <w:rPr>
                <w:b/>
                <w:color w:val="FFFFFF"/>
              </w:rPr>
              <w:t>Composition (ext → int)</w:t>
            </w:r>
          </w:p>
        </w:tc>
        <w:tc>
          <w:tcPr>
            <w:tcW w:type="dxa" w:w="1020"/>
            <w:shd w:val="clear" w:color="auto" w:fill="1F4E79"/>
          </w:tcPr>
          <w:p>
            <w:pPr>
              <w:jc w:val="center"/>
            </w:pPr>
            <w:r>
              <w:rPr>
                <w:b/>
                <w:color w:val="FFFFFF"/>
              </w:rPr>
              <w:t>R (m².K/W)</w:t>
            </w:r>
          </w:p>
        </w:tc>
        <w:tc>
          <w:tcPr>
            <w:tcW w:type="dxa" w:w="1361"/>
            <w:shd w:val="clear" w:color="auto" w:fill="1F4E79"/>
          </w:tcPr>
          <w:p>
            <w:pPr>
              <w:jc w:val="center"/>
            </w:pPr>
            <w:r>
              <w:rPr>
                <w:b/>
                <w:color w:val="FFFFFF"/>
              </w:rPr>
              <w:t>Appréciation RT</w:t>
            </w:r>
          </w:p>
        </w:tc>
      </w:tr>
      <w:tr>
        <w:tc>
          <w:tcPr>
            <w:tcW w:type="dxa" w:w="850"/>
            <w:shd w:val="clear" w:color="auto" w:fill="FFFFFF"/>
          </w:tcPr>
          <w:p>
            <w:r>
              <w:rPr>
                <w:sz w:val="18"/>
              </w:rPr>
              <w:t>Mur</w:t>
            </w:r>
          </w:p>
        </w:tc>
        <w:tc>
          <w:tcPr>
            <w:tcW w:type="dxa" w:w="1701"/>
            <w:shd w:val="clear" w:color="auto" w:fill="FFFFFF"/>
          </w:tcPr>
          <w:p>
            <w:r>
              <w:rPr>
                <w:sz w:val="18"/>
              </w:rPr>
              <w:t>Mur extérieur Sud Isolation correcte</w:t>
            </w:r>
          </w:p>
        </w:tc>
        <w:tc>
          <w:tcPr>
            <w:tcW w:type="dxa" w:w="1020"/>
            <w:shd w:val="clear" w:color="auto" w:fill="FFFFFF"/>
          </w:tcPr>
          <w:p>
            <w:r>
              <w:rPr>
                <w:sz w:val="18"/>
              </w:rPr>
              <w:t>Extérieur</w:t>
            </w:r>
          </w:p>
        </w:tc>
        <w:tc>
          <w:tcPr>
            <w:tcW w:type="dxa" w:w="3118"/>
            <w:shd w:val="clear" w:color="auto" w:fill="FFFFFF"/>
          </w:tcPr>
          <w:p>
            <w:r>
              <w:rPr>
                <w:sz w:val="14"/>
              </w:rPr>
              <w:t>? — ? cm</w:t>
            </w:r>
          </w:p>
          <w:p>
            <w:pPr>
              <w:spacing w:before="0" w:after="0"/>
            </w:pPr>
            <w:r>
              <w:rPr>
                <w:sz w:val="14"/>
              </w:rPr>
              <w:t>? — ? cm</w:t>
            </w:r>
          </w:p>
        </w:tc>
        <w:tc>
          <w:tcPr>
            <w:tcW w:type="dxa" w:w="1020"/>
            <w:shd w:val="clear" w:color="auto" w:fill="FFFFFF"/>
          </w:tcPr>
          <w:p>
            <w:r>
              <w:rPr>
                <w:sz w:val="18"/>
              </w:rPr>
              <w:t>2.22</w:t>
            </w:r>
          </w:p>
        </w:tc>
        <w:tc>
          <w:tcPr>
            <w:tcW w:type="dxa" w:w="1361"/>
            <w:shd w:val="clear" w:color="auto" w:fill="FFF3E0"/>
          </w:tcPr>
          <w:p>
            <w:pPr>
              <w:jc w:val="center"/>
            </w:pPr>
            <w:r>
              <w:rPr>
                <w:b/>
                <w:sz w:val="18"/>
              </w:rPr>
              <w:t>2</w:t>
            </w:r>
          </w:p>
        </w:tc>
      </w:tr>
      <w:tr>
        <w:tc>
          <w:tcPr>
            <w:tcW w:type="dxa" w:w="850"/>
            <w:shd w:val="clear" w:color="auto" w:fill="EBF3FA"/>
          </w:tcPr>
          <w:p>
            <w:r>
              <w:rPr>
                <w:sz w:val="18"/>
              </w:rPr>
              <w:t>Vitrage</w:t>
            </w:r>
          </w:p>
        </w:tc>
        <w:tc>
          <w:tcPr>
            <w:tcW w:type="dxa" w:w="1701"/>
            <w:shd w:val="clear" w:color="auto" w:fill="EBF3FA"/>
          </w:tcPr>
          <w:p>
            <w:r>
              <w:rPr>
                <w:sz w:val="18"/>
              </w:rPr>
              <w:t>Vitrage Sud Menuiseries alu — pont thermique</w:t>
            </w:r>
          </w:p>
        </w:tc>
        <w:tc>
          <w:tcPr>
            <w:tcW w:type="dxa" w:w="1020"/>
            <w:shd w:val="clear" w:color="auto" w:fill="EBF3FA"/>
          </w:tcPr>
          <w:p>
            <w:r>
              <w:rPr>
                <w:sz w:val="18"/>
              </w:rPr>
              <w:t>—</w:t>
            </w:r>
          </w:p>
        </w:tc>
        <w:tc>
          <w:tcPr>
            <w:tcW w:type="dxa" w:w="3118"/>
            <w:shd w:val="clear" w:color="auto" w:fill="EBF3FA"/>
          </w:tcPr>
          <w:p>
            <w:r>
              <w:rPr>
                <w:sz w:val="14"/>
              </w:rPr>
              <w:t>? — ? cm</w:t>
            </w:r>
          </w:p>
        </w:tc>
        <w:tc>
          <w:tcPr>
            <w:tcW w:type="dxa" w:w="1020"/>
            <w:shd w:val="clear" w:color="auto" w:fill="EBF3FA"/>
          </w:tcPr>
          <w:p>
            <w:r>
              <w:rPr>
                <w:sz w:val="18"/>
              </w:rPr>
              <w:t>0.56</w:t>
            </w:r>
          </w:p>
        </w:tc>
        <w:tc>
          <w:tcPr>
            <w:tcW w:type="dxa" w:w="1361"/>
            <w:shd w:val="clear" w:color="auto" w:fill="FFF3E0"/>
          </w:tcPr>
          <w:p>
            <w:pPr>
              <w:jc w:val="center"/>
            </w:pPr>
            <w:r>
              <w:rPr>
                <w:b/>
                <w:sz w:val="18"/>
              </w:rPr>
              <w:t>2</w:t>
            </w:r>
          </w:p>
        </w:tc>
      </w:tr>
    </w:tbl>
    <w:p>
      <w:r>
        <w:rPr>
          <w:i/>
          <w:color w:val="555555"/>
          <w:sz w:val="18"/>
        </w:rPr>
        <w:t>U moyen pondéré de la zone : 0,90 W/m².K</w:t>
      </w:r>
    </w:p>
    <w:p/>
    <w:p>
      <w:pPr>
        <w:shd w:val="clear" w:color="auto" w:fill="D6E4F0"/>
      </w:pPr>
      <w:r>
        <w:rPr>
          <w:b/>
          <w:color w:val="1F4E79"/>
          <w:sz w:val="22"/>
        </w:rPr>
        <w:t xml:space="preserve">  Zone : Salle de réunion</w:t>
      </w:r>
    </w:p>
    <w:p>
      <w:r>
        <w:rPr>
          <w:color w:val="555555"/>
          <w:sz w:val="18"/>
        </w:rPr>
        <w:t>Surface : 35 m² | Hauteur : 2,8 m | Niveau : RDC | Bâtiment : Bâtiment tertiaire</w:t>
      </w:r>
    </w:p>
    <w:p>
      <w:r>
        <w:rPr>
          <w:sz w:val="18"/>
        </w:rPr>
        <w:t>Aucune paroi renseignée pour cette zone.</w:t>
      </w:r>
    </w:p>
    <w:p/>
    <w:p>
      <w:pPr>
        <w:shd w:val="clear" w:color="auto" w:fill="D6E4F0"/>
      </w:pPr>
      <w:r>
        <w:rPr>
          <w:b/>
          <w:color w:val="1F4E79"/>
          <w:sz w:val="22"/>
        </w:rPr>
        <w:t xml:space="preserve">  Zone : Sanitaires</w:t>
      </w:r>
    </w:p>
    <w:p>
      <w:r>
        <w:rPr>
          <w:color w:val="555555"/>
          <w:sz w:val="18"/>
        </w:rPr>
        <w:t>Surface : 30 m² | Hauteur : 2,8 m | Niveau : RDC | Bâtiment : Bâtiment tertiaire</w:t>
      </w:r>
    </w:p>
    <w:p>
      <w:r>
        <w:rPr>
          <w:sz w:val="18"/>
        </w:rPr>
        <w:t>Aucune paroi renseignée pour cette zone.</w:t>
      </w:r>
    </w:p>
    <w:p/>
    <w:p>
      <w:pPr>
        <w:shd w:val="clear" w:color="auto" w:fill="D6E4F0"/>
      </w:pPr>
      <w:r>
        <w:rPr>
          <w:b/>
          <w:color w:val="1F4E79"/>
          <w:sz w:val="22"/>
        </w:rPr>
        <w:t xml:space="preserve">  Zone : Vestiaires</w:t>
      </w:r>
    </w:p>
    <w:p>
      <w:r>
        <w:rPr>
          <w:color w:val="555555"/>
          <w:sz w:val="18"/>
        </w:rPr>
        <w:t>Surface : 50 m² | Hauteur : 2,8 m | Niveau : RDC | Bâtiment : Bâtiment tertiaire</w:t>
      </w:r>
    </w:p>
    <w:p>
      <w:r>
        <w:rPr>
          <w:sz w:val="18"/>
        </w:rPr>
        <w:t>Aucune paroi renseignée pour cette zone.</w:t>
      </w:r>
    </w:p>
    <w:p/>
    <w:p>
      <w:r>
        <w:rPr>
          <w:b/>
          <w:color w:val="1F4E79"/>
          <w:sz w:val="20"/>
        </w:rPr>
        <w:t>U moyen pondéré global du site : 0,96 W/m².K</w:t>
      </w:r>
    </w:p>
    <w:p>
      <w:r>
        <w:br w:type="page"/>
      </w:r>
    </w:p>
    <w:p>
      <w:pPr>
        <w:spacing w:before="0" w:after="80"/>
        <w:pBdr>
          <w:left w:val="single" w:sz="24" w:space="4" w:color="1F4E79"/>
        </w:pBdr>
        <w:shd w:val="clear" w:color="auto" w:fill="EBF3FA"/>
      </w:pPr>
      <w:r>
        <w:rPr>
          <w:b/>
          <w:color w:val="FFFFFF"/>
          <w:sz w:val="26"/>
          <w:shd w:val="clear" w:color="auto" w:fill="1F4E79"/>
        </w:rPr>
        <w:t xml:space="preserve">  3.  </w:t>
      </w:r>
      <w:r>
        <w:rPr>
          <w:b/>
          <w:color w:val="1F4E79"/>
          <w:sz w:val="26"/>
        </w:rPr>
        <w:t xml:space="preserve"> État initial — État des lieux techniques</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Équipements inventoriés</w:t>
            </w:r>
          </w:p>
          <w:p>
            <w:pPr>
              <w:spacing w:before="0" w:after="40"/>
              <w:ind w:left="120"/>
            </w:pPr>
            <w:r>
              <w:rPr>
                <w:b/>
                <w:color w:val="1F4E79"/>
                <w:sz w:val="30"/>
              </w:rPr>
              <w:t>46</w:t>
            </w:r>
          </w:p>
        </w:tc>
        <w:tc>
          <w:tcPr>
            <w:tcW w:type="dxa" w:w="2422"/>
            <w:shd w:val="clear" w:color="auto" w:fill="EBF3FA"/>
            <w:tcBdr>
              <w:top w:val="single" w:sz="12" w:color="2E5F8A"/>
            </w:tcBdr>
          </w:tcPr>
          <w:p>
            <w:pPr>
              <w:spacing w:before="80" w:after="0"/>
              <w:ind w:left="120"/>
            </w:pPr>
            <w:r>
              <w:rPr>
                <w:color w:val="555555"/>
                <w:sz w:val="16"/>
              </w:rPr>
              <w:t>Zones équipées</w:t>
            </w:r>
          </w:p>
          <w:p>
            <w:pPr>
              <w:spacing w:before="0" w:after="40"/>
              <w:ind w:left="120"/>
            </w:pPr>
            <w:r>
              <w:rPr>
                <w:b/>
                <w:color w:val="2E5F8A"/>
                <w:sz w:val="30"/>
              </w:rPr>
              <w:t>14</w:t>
            </w:r>
          </w:p>
        </w:tc>
        <w:tc>
          <w:tcPr>
            <w:tcW w:type="dxa" w:w="2422"/>
            <w:shd w:val="clear" w:color="auto" w:fill="EBF3FA"/>
            <w:tcBdr>
              <w:top w:val="single" w:sz="12" w:color="C45A00"/>
            </w:tcBdr>
          </w:tcPr>
          <w:p>
            <w:pPr>
              <w:spacing w:before="80" w:after="0"/>
              <w:ind w:left="120"/>
            </w:pPr>
            <w:r>
              <w:rPr>
                <w:color w:val="555555"/>
                <w:sz w:val="16"/>
              </w:rPr>
              <w:t>Puissance installée</w:t>
            </w:r>
          </w:p>
          <w:p>
            <w:pPr>
              <w:spacing w:before="0" w:after="40"/>
              <w:ind w:left="120"/>
            </w:pPr>
            <w:r>
              <w:rPr>
                <w:b/>
                <w:color w:val="C45A00"/>
                <w:sz w:val="30"/>
              </w:rPr>
              <w:t>2 563,2</w:t>
            </w:r>
            <w:r>
              <w:rPr>
                <w:color w:val="555555"/>
                <w:sz w:val="16"/>
              </w:rPr>
              <w:t xml:space="preserve"> kW</w:t>
            </w:r>
          </w:p>
        </w:tc>
        <w:tc>
          <w:tcPr>
            <w:tcW w:type="dxa" w:w="2422"/>
            <w:shd w:val="clear" w:color="auto" w:fill="EBF3FA"/>
            <w:tcBdr>
              <w:top w:val="single" w:sz="12" w:color="1A7A45"/>
            </w:tcBdr>
          </w:tcPr>
          <w:p>
            <w:pPr>
              <w:spacing w:before="80" w:after="0"/>
              <w:ind w:left="120"/>
            </w:pPr>
            <w:r>
              <w:rPr>
                <w:color w:val="555555"/>
                <w:sz w:val="16"/>
              </w:rPr>
              <w:t>Consommation estimée</w:t>
            </w:r>
          </w:p>
          <w:p>
            <w:pPr>
              <w:spacing w:before="0" w:after="40"/>
              <w:ind w:left="120"/>
            </w:pPr>
            <w:r>
              <w:rPr>
                <w:b/>
                <w:color w:val="1A7A45"/>
                <w:sz w:val="30"/>
              </w:rPr>
              <w:t>13 793 613</w:t>
            </w:r>
            <w:r>
              <w:rPr>
                <w:color w:val="555555"/>
                <w:sz w:val="16"/>
              </w:rPr>
              <w:t xml:space="preserve"> kWh/an</w:t>
            </w:r>
          </w:p>
        </w:tc>
      </w:tr>
    </w:tbl>
    <w:p>
      <w:pPr>
        <w:spacing w:after="80"/>
      </w:pPr>
    </w:p>
    <w:p>
      <w:pPr>
        <w:shd w:val="clear" w:color="auto" w:fill="D6E4F0"/>
      </w:pPr>
      <w:r>
        <w:rPr>
          <w:b/>
          <w:color w:val="1F4E79"/>
          <w:sz w:val="22"/>
        </w:rPr>
        <w:t xml:space="preserve">  Atelier finition (5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Éclairage industriel</w:t>
            </w:r>
          </w:p>
        </w:tc>
        <w:tc>
          <w:tcPr>
            <w:tcW w:type="dxa" w:w="1587"/>
            <w:shd w:val="clear" w:color="auto" w:fill="FFFFFF"/>
          </w:tcPr>
          <w:p>
            <w:pPr>
              <w:jc w:val="center"/>
            </w:pPr>
            <w:r>
              <w:rPr>
                <w:sz w:val="14"/>
              </w:rPr>
              <w:t>Osram HQL 250W</w:t>
            </w:r>
          </w:p>
        </w:tc>
        <w:tc>
          <w:tcPr>
            <w:tcW w:type="dxa" w:w="737"/>
            <w:shd w:val="clear" w:color="auto" w:fill="FFFFFF"/>
          </w:tcPr>
          <w:p>
            <w:pPr>
              <w:jc w:val="center"/>
            </w:pPr>
            <w:r>
              <w:rPr>
                <w:sz w:val="14"/>
              </w:rPr>
              <w:t>6,0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5 000</w:t>
            </w:r>
          </w:p>
        </w:tc>
        <w:tc>
          <w:tcPr>
            <w:tcW w:type="dxa" w:w="1134"/>
            <w:shd w:val="clear" w:color="auto" w:fill="FFFFFF"/>
          </w:tcPr>
          <w:p>
            <w:pPr>
              <w:jc w:val="center"/>
            </w:pPr>
            <w:r>
              <w:rPr>
                <w:sz w:val="14"/>
              </w:rPr>
              <w:t>30 000</w:t>
            </w:r>
          </w:p>
        </w:tc>
        <w:tc>
          <w:tcPr>
            <w:tcW w:type="dxa" w:w="680"/>
            <w:shd w:val="clear" w:color="auto" w:fill="FFFFFF"/>
          </w:tcPr>
          <w:p>
            <w:pPr>
              <w:jc w:val="center"/>
            </w:pPr>
            <w:r>
              <w:rPr>
                <w:sz w:val="14"/>
              </w:rPr>
              <w:t>2005</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Grenailleuse</w:t>
            </w:r>
          </w:p>
        </w:tc>
        <w:tc>
          <w:tcPr>
            <w:tcW w:type="dxa" w:w="1587"/>
            <w:shd w:val="clear" w:color="auto" w:fill="EBF3FA"/>
          </w:tcPr>
          <w:p>
            <w:pPr>
              <w:jc w:val="center"/>
            </w:pPr>
            <w:r>
              <w:rPr>
                <w:sz w:val="14"/>
              </w:rPr>
              <w:t>Wheelabrator CT 15-6</w:t>
            </w:r>
          </w:p>
        </w:tc>
        <w:tc>
          <w:tcPr>
            <w:tcW w:type="dxa" w:w="737"/>
            <w:shd w:val="clear" w:color="auto" w:fill="EBF3FA"/>
          </w:tcPr>
          <w:p>
            <w:pPr>
              <w:jc w:val="center"/>
            </w:pPr>
            <w:r>
              <w:rPr>
                <w:sz w:val="14"/>
              </w:rPr>
              <w:t>30,0</w:t>
            </w:r>
          </w:p>
        </w:tc>
        <w:tc>
          <w:tcPr>
            <w:tcW w:type="dxa" w:w="737"/>
            <w:shd w:val="clear" w:color="auto" w:fill="EBF3FA"/>
          </w:tcPr>
          <w:p>
            <w:pPr>
              <w:jc w:val="center"/>
            </w:pPr>
            <w:r>
              <w:rPr>
                <w:sz w:val="14"/>
              </w:rPr>
              <w:t>IE1</w:t>
            </w:r>
          </w:p>
        </w:tc>
        <w:tc>
          <w:tcPr>
            <w:tcW w:type="dxa" w:w="850"/>
            <w:shd w:val="clear" w:color="auto" w:fill="EBF3FA"/>
          </w:tcPr>
          <w:p>
            <w:pPr>
              <w:jc w:val="center"/>
            </w:pPr>
            <w:r>
              <w:rPr>
                <w:sz w:val="14"/>
              </w:rPr>
              <w:t>5 000</w:t>
            </w:r>
          </w:p>
        </w:tc>
        <w:tc>
          <w:tcPr>
            <w:tcW w:type="dxa" w:w="1134"/>
            <w:shd w:val="clear" w:color="auto" w:fill="EBF3FA"/>
          </w:tcPr>
          <w:p>
            <w:pPr>
              <w:jc w:val="center"/>
            </w:pPr>
            <w:r>
              <w:rPr>
                <w:sz w:val="14"/>
              </w:rPr>
              <w:t>180 000</w:t>
            </w:r>
          </w:p>
        </w:tc>
        <w:tc>
          <w:tcPr>
            <w:tcW w:type="dxa" w:w="680"/>
            <w:shd w:val="clear" w:color="auto" w:fill="EBF3FA"/>
          </w:tcPr>
          <w:p>
            <w:pPr>
              <w:jc w:val="center"/>
            </w:pPr>
            <w:r>
              <w:rPr>
                <w:sz w:val="14"/>
              </w:rPr>
              <w:t>2009</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moteur</w:t>
            </w:r>
          </w:p>
        </w:tc>
        <w:tc>
          <w:tcPr>
            <w:tcW w:type="dxa" w:w="1587"/>
            <w:shd w:val="clear" w:color="auto" w:fill="FFFFFF"/>
          </w:tcPr>
          <w:p>
            <w:pPr>
              <w:jc w:val="center"/>
            </w:pPr>
            <w:r>
              <w:rPr>
                <w:sz w:val="14"/>
              </w:rPr>
              <w:t>LBC</w:t>
            </w:r>
          </w:p>
        </w:tc>
        <w:tc>
          <w:tcPr>
            <w:tcW w:type="dxa" w:w="737"/>
            <w:shd w:val="clear" w:color="auto" w:fill="FFFFFF"/>
          </w:tcPr>
          <w:p>
            <w:pPr>
              <w:jc w:val="center"/>
            </w:pPr>
            <w:r>
              <w:rPr>
                <w:sz w:val="14"/>
              </w:rPr>
              <w:t>350,0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3 000</w:t>
            </w:r>
          </w:p>
        </w:tc>
        <w:tc>
          <w:tcPr>
            <w:tcW w:type="dxa" w:w="1134"/>
            <w:shd w:val="clear" w:color="auto" w:fill="FFFFFF"/>
          </w:tcPr>
          <w:p>
            <w:pPr>
              <w:jc w:val="center"/>
            </w:pPr>
            <w:r>
              <w:rPr>
                <w:sz w:val="14"/>
              </w:rPr>
              <w:t>1 050 000</w:t>
            </w:r>
          </w:p>
        </w:tc>
        <w:tc>
          <w:tcPr>
            <w:tcW w:type="dxa" w:w="680"/>
            <w:shd w:val="clear" w:color="auto" w:fill="FFFFFF"/>
          </w:tcPr>
          <w:p>
            <w:pPr>
              <w:jc w:val="center"/>
            </w:pPr>
            <w:r>
              <w:rPr>
                <w:sz w:val="14"/>
              </w:rPr>
              <w:t>2027</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4</w:t>
            </w:r>
          </w:p>
        </w:tc>
        <w:tc>
          <w:tcPr>
            <w:tcW w:type="dxa" w:w="1587"/>
            <w:shd w:val="clear" w:color="auto" w:fill="EBF3FA"/>
          </w:tcPr>
          <w:p>
            <w:pPr>
              <w:jc w:val="center"/>
            </w:pPr>
            <w:r>
              <w:rPr>
                <w:sz w:val="14"/>
              </w:rPr>
              <w:t>Perceuse à colonne</w:t>
            </w:r>
          </w:p>
        </w:tc>
        <w:tc>
          <w:tcPr>
            <w:tcW w:type="dxa" w:w="1587"/>
            <w:shd w:val="clear" w:color="auto" w:fill="EBF3FA"/>
          </w:tcPr>
          <w:p>
            <w:pPr>
              <w:jc w:val="center"/>
            </w:pPr>
            <w:r>
              <w:rPr>
                <w:sz w:val="14"/>
              </w:rPr>
              <w:t>Alzmetall AB 40 SV</w:t>
            </w:r>
          </w:p>
        </w:tc>
        <w:tc>
          <w:tcPr>
            <w:tcW w:type="dxa" w:w="737"/>
            <w:shd w:val="clear" w:color="auto" w:fill="EBF3FA"/>
          </w:tcPr>
          <w:p>
            <w:pPr>
              <w:jc w:val="center"/>
            </w:pPr>
            <w:r>
              <w:rPr>
                <w:sz w:val="14"/>
              </w:rPr>
              <w:t>4,0</w:t>
            </w:r>
          </w:p>
        </w:tc>
        <w:tc>
          <w:tcPr>
            <w:tcW w:type="dxa" w:w="737"/>
            <w:shd w:val="clear" w:color="auto" w:fill="EBF3FA"/>
          </w:tcPr>
          <w:p>
            <w:pPr>
              <w:jc w:val="center"/>
            </w:pPr>
            <w:r>
              <w:rPr>
                <w:sz w:val="14"/>
              </w:rPr>
              <w:t>IE1</w:t>
            </w:r>
          </w:p>
        </w:tc>
        <w:tc>
          <w:tcPr>
            <w:tcW w:type="dxa" w:w="850"/>
            <w:shd w:val="clear" w:color="auto" w:fill="EBF3FA"/>
          </w:tcPr>
          <w:p>
            <w:pPr>
              <w:jc w:val="center"/>
            </w:pPr>
            <w:r>
              <w:rPr>
                <w:sz w:val="14"/>
              </w:rPr>
              <w:t>2 500</w:t>
            </w:r>
          </w:p>
        </w:tc>
        <w:tc>
          <w:tcPr>
            <w:tcW w:type="dxa" w:w="1134"/>
            <w:shd w:val="clear" w:color="auto" w:fill="EBF3FA"/>
          </w:tcPr>
          <w:p>
            <w:pPr>
              <w:jc w:val="center"/>
            </w:pPr>
            <w:r>
              <w:rPr>
                <w:sz w:val="14"/>
              </w:rPr>
              <w:t>10 000</w:t>
            </w:r>
          </w:p>
        </w:tc>
        <w:tc>
          <w:tcPr>
            <w:tcW w:type="dxa" w:w="680"/>
            <w:shd w:val="clear" w:color="auto" w:fill="EBF3FA"/>
          </w:tcPr>
          <w:p>
            <w:pPr>
              <w:jc w:val="center"/>
            </w:pPr>
            <w:r>
              <w:rPr>
                <w:sz w:val="14"/>
              </w:rPr>
              <w:t>2006</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5</w:t>
            </w:r>
          </w:p>
        </w:tc>
        <w:tc>
          <w:tcPr>
            <w:tcW w:type="dxa" w:w="1587"/>
            <w:shd w:val="clear" w:color="auto" w:fill="FFFFFF"/>
          </w:tcPr>
          <w:p>
            <w:pPr>
              <w:jc w:val="center"/>
            </w:pPr>
            <w:r>
              <w:rPr>
                <w:sz w:val="14"/>
              </w:rPr>
              <w:t>Scie à ruban</w:t>
            </w:r>
          </w:p>
        </w:tc>
        <w:tc>
          <w:tcPr>
            <w:tcW w:type="dxa" w:w="1587"/>
            <w:shd w:val="clear" w:color="auto" w:fill="FFFFFF"/>
          </w:tcPr>
          <w:p>
            <w:pPr>
              <w:jc w:val="center"/>
            </w:pPr>
            <w:r>
              <w:rPr>
                <w:sz w:val="14"/>
              </w:rPr>
              <w:t>Kasto KASTOmicut E2.6</w:t>
            </w:r>
          </w:p>
        </w:tc>
        <w:tc>
          <w:tcPr>
            <w:tcW w:type="dxa" w:w="737"/>
            <w:shd w:val="clear" w:color="auto" w:fill="FFFFFF"/>
          </w:tcPr>
          <w:p>
            <w:pPr>
              <w:jc w:val="center"/>
            </w:pPr>
            <w:r>
              <w:rPr>
                <w:sz w:val="14"/>
              </w:rPr>
              <w:t>3,0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3 500</w:t>
            </w:r>
          </w:p>
        </w:tc>
        <w:tc>
          <w:tcPr>
            <w:tcW w:type="dxa" w:w="1134"/>
            <w:shd w:val="clear" w:color="auto" w:fill="FFFFFF"/>
          </w:tcPr>
          <w:p>
            <w:pPr>
              <w:jc w:val="center"/>
            </w:pPr>
            <w:r>
              <w:rPr>
                <w:sz w:val="14"/>
              </w:rPr>
              <w:t>10 500</w:t>
            </w:r>
          </w:p>
        </w:tc>
        <w:tc>
          <w:tcPr>
            <w:tcW w:type="dxa" w:w="680"/>
            <w:shd w:val="clear" w:color="auto" w:fill="FFFFFF"/>
          </w:tcPr>
          <w:p>
            <w:pPr>
              <w:jc w:val="center"/>
            </w:pPr>
            <w:r>
              <w:rPr>
                <w:sz w:val="14"/>
              </w:rPr>
              <w:t>2017</w:t>
            </w:r>
          </w:p>
        </w:tc>
        <w:tc>
          <w:tcPr>
            <w:tcW w:type="dxa" w:w="454"/>
            <w:shd w:val="clear" w:color="auto" w:fill="FFFFFF"/>
          </w:tcPr>
          <w:p>
            <w:pPr>
              <w:jc w:val="center"/>
            </w:pPr>
            <w:r>
              <w:rPr>
                <w:sz w:val="14"/>
              </w:rPr>
              <w:t>1</w:t>
            </w:r>
          </w:p>
        </w:tc>
      </w:tr>
    </w:tbl>
    <w:p>
      <w:r>
        <w:rPr>
          <w:i/>
          <w:color w:val="555555"/>
          <w:sz w:val="18"/>
        </w:rPr>
        <w:t>Puissance installée zone : 393,0 kW — Consommation estimée : 1 280 500 kWh/an</w:t>
      </w:r>
    </w:p>
    <w:p/>
    <w:p>
      <w:pPr>
        <w:shd w:val="clear" w:color="auto" w:fill="D6E4F0"/>
      </w:pPr>
      <w:r>
        <w:rPr>
          <w:b/>
          <w:color w:val="1F4E79"/>
          <w:sz w:val="22"/>
        </w:rPr>
        <w:t xml:space="preserve">  Bureaux administration (4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Climatisation réversible</w:t>
            </w:r>
          </w:p>
        </w:tc>
        <w:tc>
          <w:tcPr>
            <w:tcW w:type="dxa" w:w="1587"/>
            <w:shd w:val="clear" w:color="auto" w:fill="FFFFFF"/>
          </w:tcPr>
          <w:p>
            <w:pPr>
              <w:jc w:val="center"/>
            </w:pPr>
            <w:r>
              <w:rPr>
                <w:sz w:val="14"/>
              </w:rPr>
              <w:t>Daikin FTXZ35N</w:t>
            </w:r>
          </w:p>
        </w:tc>
        <w:tc>
          <w:tcPr>
            <w:tcW w:type="dxa" w:w="737"/>
            <w:shd w:val="clear" w:color="auto" w:fill="FFFFFF"/>
          </w:tcPr>
          <w:p>
            <w:pPr>
              <w:jc w:val="center"/>
            </w:pPr>
            <w:r>
              <w:rPr>
                <w:sz w:val="14"/>
              </w:rPr>
              <w:t>3,5</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2 500</w:t>
            </w:r>
          </w:p>
        </w:tc>
        <w:tc>
          <w:tcPr>
            <w:tcW w:type="dxa" w:w="1134"/>
            <w:shd w:val="clear" w:color="auto" w:fill="FFFFFF"/>
          </w:tcPr>
          <w:p>
            <w:pPr>
              <w:jc w:val="center"/>
            </w:pPr>
            <w:r>
              <w:rPr>
                <w:sz w:val="14"/>
              </w:rPr>
              <w:t>8 750</w:t>
            </w:r>
          </w:p>
        </w:tc>
        <w:tc>
          <w:tcPr>
            <w:tcW w:type="dxa" w:w="680"/>
            <w:shd w:val="clear" w:color="auto" w:fill="FFFFFF"/>
          </w:tcPr>
          <w:p>
            <w:pPr>
              <w:jc w:val="center"/>
            </w:pPr>
            <w:r>
              <w:rPr>
                <w:sz w:val="14"/>
              </w:rPr>
              <w:t>2017</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Climatisation réversible</w:t>
            </w:r>
          </w:p>
        </w:tc>
        <w:tc>
          <w:tcPr>
            <w:tcW w:type="dxa" w:w="1587"/>
            <w:shd w:val="clear" w:color="auto" w:fill="EBF3FA"/>
          </w:tcPr>
          <w:p>
            <w:pPr>
              <w:jc w:val="center"/>
            </w:pPr>
            <w:r>
              <w:rPr>
                <w:sz w:val="14"/>
              </w:rPr>
              <w:t>Daikin FTXZ50N</w:t>
            </w:r>
          </w:p>
        </w:tc>
        <w:tc>
          <w:tcPr>
            <w:tcW w:type="dxa" w:w="737"/>
            <w:shd w:val="clear" w:color="auto" w:fill="EBF3FA"/>
          </w:tcPr>
          <w:p>
            <w:pPr>
              <w:jc w:val="center"/>
            </w:pPr>
            <w:r>
              <w:rPr>
                <w:sz w:val="14"/>
              </w:rPr>
              <w:t>5,0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2 500</w:t>
            </w:r>
          </w:p>
        </w:tc>
        <w:tc>
          <w:tcPr>
            <w:tcW w:type="dxa" w:w="1134"/>
            <w:shd w:val="clear" w:color="auto" w:fill="EBF3FA"/>
          </w:tcPr>
          <w:p>
            <w:pPr>
              <w:jc w:val="center"/>
            </w:pPr>
            <w:r>
              <w:rPr>
                <w:sz w:val="14"/>
              </w:rPr>
              <w:t>12 500</w:t>
            </w:r>
          </w:p>
        </w:tc>
        <w:tc>
          <w:tcPr>
            <w:tcW w:type="dxa" w:w="680"/>
            <w:shd w:val="clear" w:color="auto" w:fill="EBF3FA"/>
          </w:tcPr>
          <w:p>
            <w:pPr>
              <w:jc w:val="center"/>
            </w:pPr>
            <w:r>
              <w:rPr>
                <w:sz w:val="14"/>
              </w:rPr>
              <w:t>2017</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Éclairage bureau</w:t>
            </w:r>
          </w:p>
        </w:tc>
        <w:tc>
          <w:tcPr>
            <w:tcW w:type="dxa" w:w="1587"/>
            <w:shd w:val="clear" w:color="auto" w:fill="FFFFFF"/>
          </w:tcPr>
          <w:p>
            <w:pPr>
              <w:jc w:val="center"/>
            </w:pPr>
            <w:r>
              <w:rPr>
                <w:sz w:val="14"/>
              </w:rPr>
              <w:t>Philips Tubes T8 58W</w:t>
            </w:r>
          </w:p>
        </w:tc>
        <w:tc>
          <w:tcPr>
            <w:tcW w:type="dxa" w:w="737"/>
            <w:shd w:val="clear" w:color="auto" w:fill="FFFFFF"/>
          </w:tcPr>
          <w:p>
            <w:pPr>
              <w:jc w:val="center"/>
            </w:pPr>
            <w:r>
              <w:rPr>
                <w:sz w:val="14"/>
              </w:rPr>
              <w:t>2,4</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2 500</w:t>
            </w:r>
          </w:p>
        </w:tc>
        <w:tc>
          <w:tcPr>
            <w:tcW w:type="dxa" w:w="1134"/>
            <w:shd w:val="clear" w:color="auto" w:fill="FFFFFF"/>
          </w:tcPr>
          <w:p>
            <w:pPr>
              <w:jc w:val="center"/>
            </w:pPr>
            <w:r>
              <w:rPr>
                <w:sz w:val="14"/>
              </w:rPr>
              <w:t>6 090</w:t>
            </w:r>
          </w:p>
        </w:tc>
        <w:tc>
          <w:tcPr>
            <w:tcW w:type="dxa" w:w="680"/>
            <w:shd w:val="clear" w:color="auto" w:fill="FFFFFF"/>
          </w:tcPr>
          <w:p>
            <w:pPr>
              <w:jc w:val="center"/>
            </w:pPr>
            <w:r>
              <w:rPr>
                <w:sz w:val="14"/>
              </w:rPr>
              <w:t>2006</w:t>
            </w:r>
          </w:p>
        </w:tc>
        <w:tc>
          <w:tcPr>
            <w:tcW w:type="dxa" w:w="454"/>
            <w:shd w:val="clear" w:color="auto" w:fill="FFFFFF"/>
          </w:tcPr>
          <w:p>
            <w:pPr>
              <w:jc w:val="center"/>
            </w:pPr>
            <w:r>
              <w:rPr>
                <w:sz w:val="14"/>
              </w:rPr>
              <w:t>42</w:t>
            </w:r>
          </w:p>
        </w:tc>
      </w:tr>
      <w:tr>
        <w:tc>
          <w:tcPr>
            <w:tcW w:type="dxa" w:w="340"/>
            <w:shd w:val="clear" w:color="auto" w:fill="EBF3FA"/>
          </w:tcPr>
          <w:p>
            <w:pPr>
              <w:jc w:val="center"/>
            </w:pPr>
            <w:r>
              <w:rPr>
                <w:sz w:val="14"/>
              </w:rPr>
              <w:t>4</w:t>
            </w:r>
          </w:p>
        </w:tc>
        <w:tc>
          <w:tcPr>
            <w:tcW w:type="dxa" w:w="1587"/>
            <w:shd w:val="clear" w:color="auto" w:fill="EBF3FA"/>
          </w:tcPr>
          <w:p>
            <w:pPr>
              <w:jc w:val="center"/>
            </w:pPr>
            <w:r>
              <w:rPr>
                <w:sz w:val="14"/>
              </w:rPr>
              <w:t>Serveur informatique</w:t>
            </w:r>
          </w:p>
        </w:tc>
        <w:tc>
          <w:tcPr>
            <w:tcW w:type="dxa" w:w="1587"/>
            <w:shd w:val="clear" w:color="auto" w:fill="EBF3FA"/>
          </w:tcPr>
          <w:p>
            <w:pPr>
              <w:jc w:val="center"/>
            </w:pPr>
            <w:r>
              <w:rPr>
                <w:sz w:val="14"/>
              </w:rPr>
              <w:t>Dell PowerEdge T440</w:t>
            </w:r>
          </w:p>
        </w:tc>
        <w:tc>
          <w:tcPr>
            <w:tcW w:type="dxa" w:w="737"/>
            <w:shd w:val="clear" w:color="auto" w:fill="EBF3FA"/>
          </w:tcPr>
          <w:p>
            <w:pPr>
              <w:jc w:val="center"/>
            </w:pPr>
            <w:r>
              <w:rPr>
                <w:sz w:val="14"/>
              </w:rPr>
              <w:t>0,8</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8 760</w:t>
            </w:r>
          </w:p>
        </w:tc>
        <w:tc>
          <w:tcPr>
            <w:tcW w:type="dxa" w:w="1134"/>
            <w:shd w:val="clear" w:color="auto" w:fill="EBF3FA"/>
          </w:tcPr>
          <w:p>
            <w:pPr>
              <w:jc w:val="center"/>
            </w:pPr>
            <w:r>
              <w:rPr>
                <w:sz w:val="14"/>
              </w:rPr>
              <w:t>7 008</w:t>
            </w:r>
          </w:p>
        </w:tc>
        <w:tc>
          <w:tcPr>
            <w:tcW w:type="dxa" w:w="680"/>
            <w:shd w:val="clear" w:color="auto" w:fill="EBF3FA"/>
          </w:tcPr>
          <w:p>
            <w:pPr>
              <w:jc w:val="center"/>
            </w:pPr>
            <w:r>
              <w:rPr>
                <w:sz w:val="14"/>
              </w:rPr>
              <w:t>2019</w:t>
            </w:r>
          </w:p>
        </w:tc>
        <w:tc>
          <w:tcPr>
            <w:tcW w:type="dxa" w:w="454"/>
            <w:shd w:val="clear" w:color="auto" w:fill="EBF3FA"/>
          </w:tcPr>
          <w:p>
            <w:pPr>
              <w:jc w:val="center"/>
            </w:pPr>
            <w:r>
              <w:rPr>
                <w:sz w:val="14"/>
              </w:rPr>
              <w:t>1</w:t>
            </w:r>
          </w:p>
        </w:tc>
      </w:tr>
    </w:tbl>
    <w:p>
      <w:r>
        <w:rPr>
          <w:i/>
          <w:color w:val="555555"/>
          <w:sz w:val="18"/>
        </w:rPr>
        <w:t>Puissance installée zone : 11,7 kW — Consommation estimée : 34 348 kWh/an</w:t>
      </w:r>
    </w:p>
    <w:p/>
    <w:p>
      <w:pPr>
        <w:shd w:val="clear" w:color="auto" w:fill="D6E4F0"/>
      </w:pPr>
      <w:r>
        <w:rPr>
          <w:b/>
          <w:color w:val="1F4E79"/>
          <w:sz w:val="22"/>
        </w:rPr>
        <w:t xml:space="preserve">  Chaufferie (3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Brûleur gaz</w:t>
            </w:r>
          </w:p>
        </w:tc>
        <w:tc>
          <w:tcPr>
            <w:tcW w:type="dxa" w:w="1587"/>
            <w:shd w:val="clear" w:color="auto" w:fill="FFFFFF"/>
          </w:tcPr>
          <w:p>
            <w:pPr>
              <w:jc w:val="center"/>
            </w:pPr>
            <w:r>
              <w:rPr>
                <w:sz w:val="14"/>
              </w:rPr>
              <w:t>Weishaupt WG30N</w:t>
            </w:r>
          </w:p>
        </w:tc>
        <w:tc>
          <w:tcPr>
            <w:tcW w:type="dxa" w:w="737"/>
            <w:shd w:val="clear" w:color="auto" w:fill="FFFFFF"/>
          </w:tcPr>
          <w:p>
            <w:pPr>
              <w:jc w:val="center"/>
            </w:pPr>
            <w:r>
              <w:rPr>
                <w:sz w:val="14"/>
              </w:rPr>
              <w:t>200,0</w:t>
            </w:r>
          </w:p>
        </w:tc>
        <w:tc>
          <w:tcPr>
            <w:tcW w:type="dxa" w:w="737"/>
            <w:shd w:val="clear" w:color="auto" w:fill="FFFFFF"/>
          </w:tcPr>
          <w:p>
            <w:pPr>
              <w:jc w:val="center"/>
            </w:pPr>
            <w:r>
              <w:rPr>
                <w:sz w:val="14"/>
              </w:rPr>
              <w:t>92%</w:t>
            </w:r>
          </w:p>
        </w:tc>
        <w:tc>
          <w:tcPr>
            <w:tcW w:type="dxa" w:w="850"/>
            <w:shd w:val="clear" w:color="auto" w:fill="FFFFFF"/>
          </w:tcPr>
          <w:p>
            <w:pPr>
              <w:jc w:val="center"/>
            </w:pPr>
            <w:r>
              <w:rPr>
                <w:sz w:val="14"/>
              </w:rPr>
              <w:t>4 500</w:t>
            </w:r>
          </w:p>
        </w:tc>
        <w:tc>
          <w:tcPr>
            <w:tcW w:type="dxa" w:w="1134"/>
            <w:shd w:val="clear" w:color="auto" w:fill="FFFFFF"/>
          </w:tcPr>
          <w:p>
            <w:pPr>
              <w:jc w:val="center"/>
            </w:pPr>
            <w:r>
              <w:rPr>
                <w:sz w:val="14"/>
              </w:rPr>
              <w:t>900 000</w:t>
            </w:r>
          </w:p>
        </w:tc>
        <w:tc>
          <w:tcPr>
            <w:tcW w:type="dxa" w:w="680"/>
            <w:shd w:val="clear" w:color="auto" w:fill="FFFFFF"/>
          </w:tcPr>
          <w:p>
            <w:pPr>
              <w:jc w:val="center"/>
            </w:pPr>
            <w:r>
              <w:rPr>
                <w:sz w:val="14"/>
              </w:rPr>
              <w:t>2004</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Chaudière gaz</w:t>
            </w:r>
          </w:p>
        </w:tc>
        <w:tc>
          <w:tcPr>
            <w:tcW w:type="dxa" w:w="1587"/>
            <w:shd w:val="clear" w:color="auto" w:fill="EBF3FA"/>
          </w:tcPr>
          <w:p>
            <w:pPr>
              <w:jc w:val="center"/>
            </w:pPr>
            <w:r>
              <w:rPr>
                <w:sz w:val="14"/>
              </w:rPr>
              <w:t>De Dietrich GT 330</w:t>
            </w:r>
          </w:p>
        </w:tc>
        <w:tc>
          <w:tcPr>
            <w:tcW w:type="dxa" w:w="737"/>
            <w:shd w:val="clear" w:color="auto" w:fill="EBF3FA"/>
          </w:tcPr>
          <w:p>
            <w:pPr>
              <w:jc w:val="center"/>
            </w:pPr>
            <w:r>
              <w:rPr>
                <w:sz w:val="14"/>
              </w:rPr>
              <w:t>350,0</w:t>
            </w:r>
          </w:p>
        </w:tc>
        <w:tc>
          <w:tcPr>
            <w:tcW w:type="dxa" w:w="737"/>
            <w:shd w:val="clear" w:color="auto" w:fill="EBF3FA"/>
          </w:tcPr>
          <w:p>
            <w:pPr>
              <w:jc w:val="center"/>
            </w:pPr>
            <w:r>
              <w:rPr>
                <w:sz w:val="14"/>
              </w:rPr>
              <w:t>89%</w:t>
            </w:r>
          </w:p>
        </w:tc>
        <w:tc>
          <w:tcPr>
            <w:tcW w:type="dxa" w:w="850"/>
            <w:shd w:val="clear" w:color="auto" w:fill="EBF3FA"/>
          </w:tcPr>
          <w:p>
            <w:pPr>
              <w:jc w:val="center"/>
            </w:pPr>
            <w:r>
              <w:rPr>
                <w:sz w:val="14"/>
              </w:rPr>
              <w:t>4 500</w:t>
            </w:r>
          </w:p>
        </w:tc>
        <w:tc>
          <w:tcPr>
            <w:tcW w:type="dxa" w:w="1134"/>
            <w:shd w:val="clear" w:color="auto" w:fill="EBF3FA"/>
          </w:tcPr>
          <w:p>
            <w:pPr>
              <w:jc w:val="center"/>
            </w:pPr>
            <w:r>
              <w:rPr>
                <w:sz w:val="14"/>
              </w:rPr>
              <w:t>1 750 000</w:t>
            </w:r>
          </w:p>
        </w:tc>
        <w:tc>
          <w:tcPr>
            <w:tcW w:type="dxa" w:w="680"/>
            <w:shd w:val="clear" w:color="auto" w:fill="EBF3FA"/>
          </w:tcPr>
          <w:p>
            <w:pPr>
              <w:jc w:val="center"/>
            </w:pPr>
            <w:r>
              <w:rPr>
                <w:sz w:val="14"/>
              </w:rPr>
              <w:t>2004</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Circulateur chauffage</w:t>
            </w:r>
          </w:p>
        </w:tc>
        <w:tc>
          <w:tcPr>
            <w:tcW w:type="dxa" w:w="1587"/>
            <w:shd w:val="clear" w:color="auto" w:fill="FFFFFF"/>
          </w:tcPr>
          <w:p>
            <w:pPr>
              <w:jc w:val="center"/>
            </w:pPr>
            <w:r>
              <w:rPr>
                <w:sz w:val="14"/>
              </w:rPr>
              <w:t>Grundfos MAGNA3 40-120 F</w:t>
            </w:r>
          </w:p>
        </w:tc>
        <w:tc>
          <w:tcPr>
            <w:tcW w:type="dxa" w:w="737"/>
            <w:shd w:val="clear" w:color="auto" w:fill="FFFFFF"/>
          </w:tcPr>
          <w:p>
            <w:pPr>
              <w:jc w:val="center"/>
            </w:pPr>
            <w:r>
              <w:rPr>
                <w:sz w:val="14"/>
              </w:rPr>
              <w:t>0,8</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4 500</w:t>
            </w:r>
          </w:p>
        </w:tc>
        <w:tc>
          <w:tcPr>
            <w:tcW w:type="dxa" w:w="1134"/>
            <w:shd w:val="clear" w:color="auto" w:fill="FFFFFF"/>
          </w:tcPr>
          <w:p>
            <w:pPr>
              <w:jc w:val="center"/>
            </w:pPr>
            <w:r>
              <w:rPr>
                <w:sz w:val="14"/>
              </w:rPr>
              <w:t>3 600</w:t>
            </w:r>
          </w:p>
        </w:tc>
        <w:tc>
          <w:tcPr>
            <w:tcW w:type="dxa" w:w="680"/>
            <w:shd w:val="clear" w:color="auto" w:fill="FFFFFF"/>
          </w:tcPr>
          <w:p>
            <w:pPr>
              <w:jc w:val="center"/>
            </w:pPr>
            <w:r>
              <w:rPr>
                <w:sz w:val="14"/>
              </w:rPr>
              <w:t>2018</w:t>
            </w:r>
          </w:p>
        </w:tc>
        <w:tc>
          <w:tcPr>
            <w:tcW w:type="dxa" w:w="454"/>
            <w:shd w:val="clear" w:color="auto" w:fill="FFFFFF"/>
          </w:tcPr>
          <w:p>
            <w:pPr>
              <w:jc w:val="center"/>
            </w:pPr>
            <w:r>
              <w:rPr>
                <w:sz w:val="14"/>
              </w:rPr>
              <w:t>1</w:t>
            </w:r>
          </w:p>
        </w:tc>
      </w:tr>
    </w:tbl>
    <w:p>
      <w:r>
        <w:rPr>
          <w:i/>
          <w:color w:val="555555"/>
          <w:sz w:val="18"/>
        </w:rPr>
        <w:t>Puissance installée zone : 550,8 kW — Consommation estimée : 2 653 600 kWh/an</w:t>
      </w:r>
    </w:p>
    <w:p/>
    <w:p>
      <w:pPr>
        <w:shd w:val="clear" w:color="auto" w:fill="D6E4F0"/>
      </w:pPr>
      <w:r>
        <w:rPr>
          <w:b/>
          <w:color w:val="1F4E79"/>
          <w:sz w:val="22"/>
        </w:rPr>
        <w:t xml:space="preserve">  Contrôle qualité (3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Climatisation split</w:t>
            </w:r>
          </w:p>
        </w:tc>
        <w:tc>
          <w:tcPr>
            <w:tcW w:type="dxa" w:w="1587"/>
            <w:shd w:val="clear" w:color="auto" w:fill="FFFFFF"/>
          </w:tcPr>
          <w:p>
            <w:pPr>
              <w:jc w:val="center"/>
            </w:pPr>
            <w:r>
              <w:rPr>
                <w:sz w:val="14"/>
              </w:rPr>
              <w:t>Daikin FTXM35R</w:t>
            </w:r>
          </w:p>
        </w:tc>
        <w:tc>
          <w:tcPr>
            <w:tcW w:type="dxa" w:w="737"/>
            <w:shd w:val="clear" w:color="auto" w:fill="FFFFFF"/>
          </w:tcPr>
          <w:p>
            <w:pPr>
              <w:jc w:val="center"/>
            </w:pPr>
            <w:r>
              <w:rPr>
                <w:sz w:val="14"/>
              </w:rPr>
              <w:t>3,5</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2 500</w:t>
            </w:r>
          </w:p>
        </w:tc>
        <w:tc>
          <w:tcPr>
            <w:tcW w:type="dxa" w:w="1134"/>
            <w:shd w:val="clear" w:color="auto" w:fill="FFFFFF"/>
          </w:tcPr>
          <w:p>
            <w:pPr>
              <w:jc w:val="center"/>
            </w:pPr>
            <w:r>
              <w:rPr>
                <w:sz w:val="14"/>
              </w:rPr>
              <w:t>8 750</w:t>
            </w:r>
          </w:p>
        </w:tc>
        <w:tc>
          <w:tcPr>
            <w:tcW w:type="dxa" w:w="680"/>
            <w:shd w:val="clear" w:color="auto" w:fill="FFFFFF"/>
          </w:tcPr>
          <w:p>
            <w:pPr>
              <w:jc w:val="center"/>
            </w:pPr>
            <w:r>
              <w:rPr>
                <w:sz w:val="14"/>
              </w:rPr>
              <w:t>2020</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Machine de traction</w:t>
            </w:r>
          </w:p>
        </w:tc>
        <w:tc>
          <w:tcPr>
            <w:tcW w:type="dxa" w:w="1587"/>
            <w:shd w:val="clear" w:color="auto" w:fill="EBF3FA"/>
          </w:tcPr>
          <w:p>
            <w:pPr>
              <w:jc w:val="center"/>
            </w:pPr>
            <w:r>
              <w:rPr>
                <w:sz w:val="14"/>
              </w:rPr>
              <w:t>Instron 5982</w:t>
            </w:r>
          </w:p>
        </w:tc>
        <w:tc>
          <w:tcPr>
            <w:tcW w:type="dxa" w:w="737"/>
            <w:shd w:val="clear" w:color="auto" w:fill="EBF3FA"/>
          </w:tcPr>
          <w:p>
            <w:pPr>
              <w:jc w:val="center"/>
            </w:pPr>
            <w:r>
              <w:rPr>
                <w:sz w:val="14"/>
              </w:rPr>
              <w:t>5,0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1 500</w:t>
            </w:r>
          </w:p>
        </w:tc>
        <w:tc>
          <w:tcPr>
            <w:tcW w:type="dxa" w:w="1134"/>
            <w:shd w:val="clear" w:color="auto" w:fill="EBF3FA"/>
          </w:tcPr>
          <w:p>
            <w:pPr>
              <w:jc w:val="center"/>
            </w:pPr>
            <w:r>
              <w:rPr>
                <w:sz w:val="14"/>
              </w:rPr>
              <w:t>7 500</w:t>
            </w:r>
          </w:p>
        </w:tc>
        <w:tc>
          <w:tcPr>
            <w:tcW w:type="dxa" w:w="680"/>
            <w:shd w:val="clear" w:color="auto" w:fill="EBF3FA"/>
          </w:tcPr>
          <w:p>
            <w:pPr>
              <w:jc w:val="center"/>
            </w:pPr>
            <w:r>
              <w:rPr>
                <w:sz w:val="14"/>
              </w:rPr>
              <w:t>2016</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Spectromètre</w:t>
            </w:r>
          </w:p>
        </w:tc>
        <w:tc>
          <w:tcPr>
            <w:tcW w:type="dxa" w:w="1587"/>
            <w:shd w:val="clear" w:color="auto" w:fill="FFFFFF"/>
          </w:tcPr>
          <w:p>
            <w:pPr>
              <w:jc w:val="center"/>
            </w:pPr>
            <w:r>
              <w:rPr>
                <w:sz w:val="14"/>
              </w:rPr>
              <w:t>Bruker Q4 Tasman</w:t>
            </w:r>
          </w:p>
        </w:tc>
        <w:tc>
          <w:tcPr>
            <w:tcW w:type="dxa" w:w="737"/>
            <w:shd w:val="clear" w:color="auto" w:fill="FFFFFF"/>
          </w:tcPr>
          <w:p>
            <w:pPr>
              <w:jc w:val="center"/>
            </w:pPr>
            <w:r>
              <w:rPr>
                <w:sz w:val="14"/>
              </w:rPr>
              <w:t>3,0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2 500</w:t>
            </w:r>
          </w:p>
        </w:tc>
        <w:tc>
          <w:tcPr>
            <w:tcW w:type="dxa" w:w="1134"/>
            <w:shd w:val="clear" w:color="auto" w:fill="FFFFFF"/>
          </w:tcPr>
          <w:p>
            <w:pPr>
              <w:jc w:val="center"/>
            </w:pPr>
            <w:r>
              <w:rPr>
                <w:sz w:val="14"/>
              </w:rPr>
              <w:t>7 500</w:t>
            </w:r>
          </w:p>
        </w:tc>
        <w:tc>
          <w:tcPr>
            <w:tcW w:type="dxa" w:w="680"/>
            <w:shd w:val="clear" w:color="auto" w:fill="FFFFFF"/>
          </w:tcPr>
          <w:p>
            <w:pPr>
              <w:jc w:val="center"/>
            </w:pPr>
            <w:r>
              <w:rPr>
                <w:sz w:val="14"/>
              </w:rPr>
              <w:t>2019</w:t>
            </w:r>
          </w:p>
        </w:tc>
        <w:tc>
          <w:tcPr>
            <w:tcW w:type="dxa" w:w="454"/>
            <w:shd w:val="clear" w:color="auto" w:fill="FFFFFF"/>
          </w:tcPr>
          <w:p>
            <w:pPr>
              <w:jc w:val="center"/>
            </w:pPr>
            <w:r>
              <w:rPr>
                <w:sz w:val="14"/>
              </w:rPr>
              <w:t>1</w:t>
            </w:r>
          </w:p>
        </w:tc>
      </w:tr>
    </w:tbl>
    <w:p>
      <w:r>
        <w:rPr>
          <w:i/>
          <w:color w:val="555555"/>
          <w:sz w:val="18"/>
        </w:rPr>
        <w:t>Puissance installée zone : 11,5 kW — Consommation estimée : 23 750 kWh/an</w:t>
      </w:r>
    </w:p>
    <w:p/>
    <w:p>
      <w:pPr>
        <w:shd w:val="clear" w:color="auto" w:fill="D6E4F0"/>
      </w:pPr>
      <w:r>
        <w:rPr>
          <w:b/>
          <w:color w:val="1F4E79"/>
          <w:sz w:val="22"/>
        </w:rPr>
        <w:t xml:space="preserve">  Expédition (3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Autre</w:t>
            </w:r>
          </w:p>
        </w:tc>
        <w:tc>
          <w:tcPr>
            <w:tcW w:type="dxa" w:w="1587"/>
            <w:shd w:val="clear" w:color="auto" w:fill="FFFFFF"/>
          </w:tcPr>
          <w:p>
            <w:pPr>
              <w:jc w:val="center"/>
            </w:pPr>
            <w:r>
              <w:rPr>
                <w:sz w:val="14"/>
              </w:rPr>
              <w:t>MITSUBISHI ELECTRIC MUZ-AY20VG2</w:t>
            </w:r>
          </w:p>
        </w:tc>
        <w:tc>
          <w:tcPr>
            <w:tcW w:type="dxa" w:w="737"/>
            <w:shd w:val="clear" w:color="auto" w:fill="FFFFFF"/>
          </w:tcPr>
          <w:p>
            <w:pPr>
              <w:jc w:val="center"/>
            </w:pPr>
            <w:r>
              <w:rPr>
                <w:sz w:val="14"/>
              </w:rPr>
              <w:t>2,0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3 000</w:t>
            </w:r>
          </w:p>
        </w:tc>
        <w:tc>
          <w:tcPr>
            <w:tcW w:type="dxa" w:w="1134"/>
            <w:shd w:val="clear" w:color="auto" w:fill="FFFFFF"/>
          </w:tcPr>
          <w:p>
            <w:pPr>
              <w:jc w:val="center"/>
            </w:pPr>
            <w:r>
              <w:rPr>
                <w:sz w:val="14"/>
              </w:rPr>
              <w:t>6 000</w:t>
            </w:r>
          </w:p>
        </w:tc>
        <w:tc>
          <w:tcPr>
            <w:tcW w:type="dxa" w:w="680"/>
            <w:shd w:val="clear" w:color="auto" w:fill="FFFFFF"/>
          </w:tcPr>
          <w:p>
            <w:pPr>
              <w:jc w:val="center"/>
            </w:pPr>
            <w:r>
              <w:rPr>
                <w:sz w:val="14"/>
              </w:rPr>
              <w:t>2025</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Chariot élévateur électrique</w:t>
            </w:r>
          </w:p>
        </w:tc>
        <w:tc>
          <w:tcPr>
            <w:tcW w:type="dxa" w:w="1587"/>
            <w:shd w:val="clear" w:color="auto" w:fill="EBF3FA"/>
          </w:tcPr>
          <w:p>
            <w:pPr>
              <w:jc w:val="center"/>
            </w:pPr>
            <w:r>
              <w:rPr>
                <w:sz w:val="14"/>
              </w:rPr>
              <w:t>Linde E20PH</w:t>
            </w:r>
          </w:p>
        </w:tc>
        <w:tc>
          <w:tcPr>
            <w:tcW w:type="dxa" w:w="737"/>
            <w:shd w:val="clear" w:color="auto" w:fill="EBF3FA"/>
          </w:tcPr>
          <w:p>
            <w:pPr>
              <w:jc w:val="center"/>
            </w:pPr>
            <w:r>
              <w:rPr>
                <w:sz w:val="14"/>
              </w:rPr>
              <w:t>15,0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3 000</w:t>
            </w:r>
          </w:p>
        </w:tc>
        <w:tc>
          <w:tcPr>
            <w:tcW w:type="dxa" w:w="1134"/>
            <w:shd w:val="clear" w:color="auto" w:fill="EBF3FA"/>
          </w:tcPr>
          <w:p>
            <w:pPr>
              <w:jc w:val="center"/>
            </w:pPr>
            <w:r>
              <w:rPr>
                <w:sz w:val="14"/>
              </w:rPr>
              <w:t>45 000</w:t>
            </w:r>
          </w:p>
        </w:tc>
        <w:tc>
          <w:tcPr>
            <w:tcW w:type="dxa" w:w="680"/>
            <w:shd w:val="clear" w:color="auto" w:fill="EBF3FA"/>
          </w:tcPr>
          <w:p>
            <w:pPr>
              <w:jc w:val="center"/>
            </w:pPr>
            <w:r>
              <w:rPr>
                <w:sz w:val="14"/>
              </w:rPr>
              <w:t>2018</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Transpalette électrique</w:t>
            </w:r>
          </w:p>
        </w:tc>
        <w:tc>
          <w:tcPr>
            <w:tcW w:type="dxa" w:w="1587"/>
            <w:shd w:val="clear" w:color="auto" w:fill="FFFFFF"/>
          </w:tcPr>
          <w:p>
            <w:pPr>
              <w:jc w:val="center"/>
            </w:pPr>
            <w:r>
              <w:rPr>
                <w:sz w:val="14"/>
              </w:rPr>
              <w:t>Jungheinrich EJE 116</w:t>
            </w:r>
          </w:p>
        </w:tc>
        <w:tc>
          <w:tcPr>
            <w:tcW w:type="dxa" w:w="737"/>
            <w:shd w:val="clear" w:color="auto" w:fill="FFFFFF"/>
          </w:tcPr>
          <w:p>
            <w:pPr>
              <w:jc w:val="center"/>
            </w:pPr>
            <w:r>
              <w:rPr>
                <w:sz w:val="14"/>
              </w:rPr>
              <w:t>3,0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2 500</w:t>
            </w:r>
          </w:p>
        </w:tc>
        <w:tc>
          <w:tcPr>
            <w:tcW w:type="dxa" w:w="1134"/>
            <w:shd w:val="clear" w:color="auto" w:fill="FFFFFF"/>
          </w:tcPr>
          <w:p>
            <w:pPr>
              <w:jc w:val="center"/>
            </w:pPr>
            <w:r>
              <w:rPr>
                <w:sz w:val="14"/>
              </w:rPr>
              <w:t>7 500</w:t>
            </w:r>
          </w:p>
        </w:tc>
        <w:tc>
          <w:tcPr>
            <w:tcW w:type="dxa" w:w="680"/>
            <w:shd w:val="clear" w:color="auto" w:fill="FFFFFF"/>
          </w:tcPr>
          <w:p>
            <w:pPr>
              <w:jc w:val="center"/>
            </w:pPr>
            <w:r>
              <w:rPr>
                <w:sz w:val="14"/>
              </w:rPr>
              <w:t>2020</w:t>
            </w:r>
          </w:p>
        </w:tc>
        <w:tc>
          <w:tcPr>
            <w:tcW w:type="dxa" w:w="454"/>
            <w:shd w:val="clear" w:color="auto" w:fill="FFFFFF"/>
          </w:tcPr>
          <w:p>
            <w:pPr>
              <w:jc w:val="center"/>
            </w:pPr>
            <w:r>
              <w:rPr>
                <w:sz w:val="14"/>
              </w:rPr>
              <w:t>1</w:t>
            </w:r>
          </w:p>
        </w:tc>
      </w:tr>
    </w:tbl>
    <w:p>
      <w:r>
        <w:rPr>
          <w:i/>
          <w:color w:val="555555"/>
          <w:sz w:val="18"/>
        </w:rPr>
        <w:t>Puissance installée zone : 20,0 kW — Consommation estimée : 58 500 kWh/an</w:t>
      </w:r>
    </w:p>
    <w:p/>
    <w:p>
      <w:pPr>
        <w:shd w:val="clear" w:color="auto" w:fill="D6E4F0"/>
      </w:pPr>
      <w:r>
        <w:rPr>
          <w:b/>
          <w:color w:val="1F4E79"/>
          <w:sz w:val="22"/>
        </w:rPr>
        <w:t xml:space="preserve">  Hall de fusion (6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Éclairage industriel</w:t>
            </w:r>
          </w:p>
        </w:tc>
        <w:tc>
          <w:tcPr>
            <w:tcW w:type="dxa" w:w="1587"/>
            <w:shd w:val="clear" w:color="auto" w:fill="FFFFFF"/>
          </w:tcPr>
          <w:p>
            <w:pPr>
              <w:jc w:val="center"/>
            </w:pPr>
            <w:r>
              <w:rPr>
                <w:sz w:val="14"/>
              </w:rPr>
              <w:t>Philips CoreLine BY120P</w:t>
            </w:r>
          </w:p>
        </w:tc>
        <w:tc>
          <w:tcPr>
            <w:tcW w:type="dxa" w:w="737"/>
            <w:shd w:val="clear" w:color="auto" w:fill="FFFFFF"/>
          </w:tcPr>
          <w:p>
            <w:pPr>
              <w:jc w:val="center"/>
            </w:pPr>
            <w:r>
              <w:rPr>
                <w:sz w:val="14"/>
              </w:rPr>
              <w:t>3,0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6 500</w:t>
            </w:r>
          </w:p>
        </w:tc>
        <w:tc>
          <w:tcPr>
            <w:tcW w:type="dxa" w:w="1134"/>
            <w:shd w:val="clear" w:color="auto" w:fill="FFFFFF"/>
          </w:tcPr>
          <w:p>
            <w:pPr>
              <w:jc w:val="center"/>
            </w:pPr>
            <w:r>
              <w:rPr>
                <w:sz w:val="14"/>
              </w:rPr>
              <w:t>19 500</w:t>
            </w:r>
          </w:p>
        </w:tc>
        <w:tc>
          <w:tcPr>
            <w:tcW w:type="dxa" w:w="680"/>
            <w:shd w:val="clear" w:color="auto" w:fill="FFFFFF"/>
          </w:tcPr>
          <w:p>
            <w:pPr>
              <w:jc w:val="center"/>
            </w:pPr>
            <w:r>
              <w:rPr>
                <w:sz w:val="14"/>
              </w:rPr>
              <w:t>2018</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Four à induction</w:t>
            </w:r>
          </w:p>
        </w:tc>
        <w:tc>
          <w:tcPr>
            <w:tcW w:type="dxa" w:w="1587"/>
            <w:shd w:val="clear" w:color="auto" w:fill="EBF3FA"/>
          </w:tcPr>
          <w:p>
            <w:pPr>
              <w:jc w:val="center"/>
            </w:pPr>
            <w:r>
              <w:rPr>
                <w:sz w:val="14"/>
              </w:rPr>
              <w:t>ABP Induction IFM 2000</w:t>
            </w:r>
          </w:p>
        </w:tc>
        <w:tc>
          <w:tcPr>
            <w:tcW w:type="dxa" w:w="737"/>
            <w:shd w:val="clear" w:color="auto" w:fill="EBF3FA"/>
          </w:tcPr>
          <w:p>
            <w:pPr>
              <w:jc w:val="center"/>
            </w:pPr>
            <w:r>
              <w:rPr>
                <w:sz w:val="14"/>
              </w:rPr>
              <w:t>500,0</w:t>
            </w:r>
          </w:p>
        </w:tc>
        <w:tc>
          <w:tcPr>
            <w:tcW w:type="dxa" w:w="737"/>
            <w:shd w:val="clear" w:color="auto" w:fill="EBF3FA"/>
          </w:tcPr>
          <w:p>
            <w:pPr>
              <w:jc w:val="center"/>
            </w:pPr>
            <w:r>
              <w:rPr>
                <w:sz w:val="14"/>
              </w:rPr>
              <w:t>85%</w:t>
            </w:r>
          </w:p>
        </w:tc>
        <w:tc>
          <w:tcPr>
            <w:tcW w:type="dxa" w:w="850"/>
            <w:shd w:val="clear" w:color="auto" w:fill="EBF3FA"/>
          </w:tcPr>
          <w:p>
            <w:pPr>
              <w:jc w:val="center"/>
            </w:pPr>
            <w:r>
              <w:rPr>
                <w:sz w:val="14"/>
              </w:rPr>
              <w:t>6 500</w:t>
            </w:r>
          </w:p>
        </w:tc>
        <w:tc>
          <w:tcPr>
            <w:tcW w:type="dxa" w:w="1134"/>
            <w:shd w:val="clear" w:color="auto" w:fill="EBF3FA"/>
          </w:tcPr>
          <w:p>
            <w:pPr>
              <w:jc w:val="center"/>
            </w:pPr>
            <w:r>
              <w:rPr>
                <w:sz w:val="14"/>
              </w:rPr>
              <w:t>3 550 000</w:t>
            </w:r>
          </w:p>
        </w:tc>
        <w:tc>
          <w:tcPr>
            <w:tcW w:type="dxa" w:w="680"/>
            <w:shd w:val="clear" w:color="auto" w:fill="EBF3FA"/>
          </w:tcPr>
          <w:p>
            <w:pPr>
              <w:jc w:val="center"/>
            </w:pPr>
            <w:r>
              <w:rPr>
                <w:sz w:val="14"/>
              </w:rPr>
              <w:t>2008</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Four à induction</w:t>
            </w:r>
          </w:p>
        </w:tc>
        <w:tc>
          <w:tcPr>
            <w:tcW w:type="dxa" w:w="1587"/>
            <w:shd w:val="clear" w:color="auto" w:fill="FFFFFF"/>
          </w:tcPr>
          <w:p>
            <w:pPr>
              <w:jc w:val="center"/>
            </w:pPr>
            <w:r>
              <w:rPr>
                <w:sz w:val="14"/>
              </w:rPr>
              <w:t>ABP Induction IFM 1000</w:t>
            </w:r>
          </w:p>
        </w:tc>
        <w:tc>
          <w:tcPr>
            <w:tcW w:type="dxa" w:w="737"/>
            <w:shd w:val="clear" w:color="auto" w:fill="FFFFFF"/>
          </w:tcPr>
          <w:p>
            <w:pPr>
              <w:jc w:val="center"/>
            </w:pPr>
            <w:r>
              <w:rPr>
                <w:sz w:val="14"/>
              </w:rPr>
              <w:t>300,0</w:t>
            </w:r>
          </w:p>
        </w:tc>
        <w:tc>
          <w:tcPr>
            <w:tcW w:type="dxa" w:w="737"/>
            <w:shd w:val="clear" w:color="auto" w:fill="FFFFFF"/>
          </w:tcPr>
          <w:p>
            <w:pPr>
              <w:jc w:val="center"/>
            </w:pPr>
            <w:r>
              <w:rPr>
                <w:sz w:val="14"/>
              </w:rPr>
              <w:t>87%</w:t>
            </w:r>
          </w:p>
        </w:tc>
        <w:tc>
          <w:tcPr>
            <w:tcW w:type="dxa" w:w="850"/>
            <w:shd w:val="clear" w:color="auto" w:fill="FFFFFF"/>
          </w:tcPr>
          <w:p>
            <w:pPr>
              <w:jc w:val="center"/>
            </w:pPr>
            <w:r>
              <w:rPr>
                <w:sz w:val="14"/>
              </w:rPr>
              <w:t>5 500</w:t>
            </w:r>
          </w:p>
        </w:tc>
        <w:tc>
          <w:tcPr>
            <w:tcW w:type="dxa" w:w="1134"/>
            <w:shd w:val="clear" w:color="auto" w:fill="FFFFFF"/>
          </w:tcPr>
          <w:p>
            <w:pPr>
              <w:jc w:val="center"/>
            </w:pPr>
            <w:r>
              <w:rPr>
                <w:sz w:val="14"/>
              </w:rPr>
              <w:t>1 850 000</w:t>
            </w:r>
          </w:p>
        </w:tc>
        <w:tc>
          <w:tcPr>
            <w:tcW w:type="dxa" w:w="680"/>
            <w:shd w:val="clear" w:color="auto" w:fill="FFFFFF"/>
          </w:tcPr>
          <w:p>
            <w:pPr>
              <w:jc w:val="center"/>
            </w:pPr>
            <w:r>
              <w:rPr>
                <w:sz w:val="14"/>
              </w:rPr>
              <w:t>2012</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4</w:t>
            </w:r>
          </w:p>
        </w:tc>
        <w:tc>
          <w:tcPr>
            <w:tcW w:type="dxa" w:w="1587"/>
            <w:shd w:val="clear" w:color="auto" w:fill="EBF3FA"/>
          </w:tcPr>
          <w:p>
            <w:pPr>
              <w:jc w:val="center"/>
            </w:pPr>
            <w:r>
              <w:rPr>
                <w:sz w:val="14"/>
              </w:rPr>
              <w:t>Groupe de refroidissement</w:t>
            </w:r>
          </w:p>
        </w:tc>
        <w:tc>
          <w:tcPr>
            <w:tcW w:type="dxa" w:w="1587"/>
            <w:shd w:val="clear" w:color="auto" w:fill="EBF3FA"/>
          </w:tcPr>
          <w:p>
            <w:pPr>
              <w:jc w:val="center"/>
            </w:pPr>
            <w:r>
              <w:rPr>
                <w:sz w:val="14"/>
              </w:rPr>
              <w:t>Carrier 30RBS 120</w:t>
            </w:r>
          </w:p>
        </w:tc>
        <w:tc>
          <w:tcPr>
            <w:tcW w:type="dxa" w:w="737"/>
            <w:shd w:val="clear" w:color="auto" w:fill="EBF3FA"/>
          </w:tcPr>
          <w:p>
            <w:pPr>
              <w:jc w:val="center"/>
            </w:pPr>
            <w:r>
              <w:rPr>
                <w:sz w:val="14"/>
              </w:rPr>
              <w:t>90,0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6 500</w:t>
            </w:r>
          </w:p>
        </w:tc>
        <w:tc>
          <w:tcPr>
            <w:tcW w:type="dxa" w:w="1134"/>
            <w:shd w:val="clear" w:color="auto" w:fill="EBF3FA"/>
          </w:tcPr>
          <w:p>
            <w:pPr>
              <w:jc w:val="center"/>
            </w:pPr>
            <w:r>
              <w:rPr>
                <w:sz w:val="14"/>
              </w:rPr>
              <w:t>680 000</w:t>
            </w:r>
          </w:p>
        </w:tc>
        <w:tc>
          <w:tcPr>
            <w:tcW w:type="dxa" w:w="680"/>
            <w:shd w:val="clear" w:color="auto" w:fill="EBF3FA"/>
          </w:tcPr>
          <w:p>
            <w:pPr>
              <w:jc w:val="center"/>
            </w:pPr>
            <w:r>
              <w:rPr>
                <w:sz w:val="14"/>
              </w:rPr>
              <w:t>2008</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5</w:t>
            </w:r>
          </w:p>
        </w:tc>
        <w:tc>
          <w:tcPr>
            <w:tcW w:type="dxa" w:w="1587"/>
            <w:shd w:val="clear" w:color="auto" w:fill="FFFFFF"/>
          </w:tcPr>
          <w:p>
            <w:pPr>
              <w:jc w:val="center"/>
            </w:pPr>
            <w:r>
              <w:rPr>
                <w:sz w:val="14"/>
              </w:rPr>
              <w:t>Pont roulant</w:t>
            </w:r>
          </w:p>
        </w:tc>
        <w:tc>
          <w:tcPr>
            <w:tcW w:type="dxa" w:w="1587"/>
            <w:shd w:val="clear" w:color="auto" w:fill="FFFFFF"/>
          </w:tcPr>
          <w:p>
            <w:pPr>
              <w:jc w:val="center"/>
            </w:pPr>
            <w:r>
              <w:rPr>
                <w:sz w:val="14"/>
              </w:rPr>
              <w:t>Demag EKKE 10T</w:t>
            </w:r>
          </w:p>
        </w:tc>
        <w:tc>
          <w:tcPr>
            <w:tcW w:type="dxa" w:w="737"/>
            <w:shd w:val="clear" w:color="auto" w:fill="FFFFFF"/>
          </w:tcPr>
          <w:p>
            <w:pPr>
              <w:jc w:val="center"/>
            </w:pPr>
            <w:r>
              <w:rPr>
                <w:sz w:val="14"/>
              </w:rPr>
              <w:t>15,0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4 000</w:t>
            </w:r>
          </w:p>
        </w:tc>
        <w:tc>
          <w:tcPr>
            <w:tcW w:type="dxa" w:w="1134"/>
            <w:shd w:val="clear" w:color="auto" w:fill="FFFFFF"/>
          </w:tcPr>
          <w:p>
            <w:pPr>
              <w:jc w:val="center"/>
            </w:pPr>
            <w:r>
              <w:rPr>
                <w:sz w:val="14"/>
              </w:rPr>
              <w:t>60 000</w:t>
            </w:r>
          </w:p>
        </w:tc>
        <w:tc>
          <w:tcPr>
            <w:tcW w:type="dxa" w:w="680"/>
            <w:shd w:val="clear" w:color="auto" w:fill="FFFFFF"/>
          </w:tcPr>
          <w:p>
            <w:pPr>
              <w:jc w:val="center"/>
            </w:pPr>
            <w:r>
              <w:rPr>
                <w:sz w:val="14"/>
              </w:rPr>
              <w:t>2005</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6</w:t>
            </w:r>
          </w:p>
        </w:tc>
        <w:tc>
          <w:tcPr>
            <w:tcW w:type="dxa" w:w="1587"/>
            <w:shd w:val="clear" w:color="auto" w:fill="EBF3FA"/>
          </w:tcPr>
          <w:p>
            <w:pPr>
              <w:jc w:val="center"/>
            </w:pPr>
            <w:r>
              <w:rPr>
                <w:sz w:val="14"/>
              </w:rPr>
              <w:t>Système aspiration fumées</w:t>
            </w:r>
          </w:p>
        </w:tc>
        <w:tc>
          <w:tcPr>
            <w:tcW w:type="dxa" w:w="1587"/>
            <w:shd w:val="clear" w:color="auto" w:fill="EBF3FA"/>
          </w:tcPr>
          <w:p>
            <w:pPr>
              <w:jc w:val="center"/>
            </w:pPr>
            <w:r>
              <w:rPr>
                <w:sz w:val="14"/>
              </w:rPr>
              <w:t>Scheuch EcoAir 4500</w:t>
            </w:r>
          </w:p>
        </w:tc>
        <w:tc>
          <w:tcPr>
            <w:tcW w:type="dxa" w:w="737"/>
            <w:shd w:val="clear" w:color="auto" w:fill="EBF3FA"/>
          </w:tcPr>
          <w:p>
            <w:pPr>
              <w:jc w:val="center"/>
            </w:pPr>
            <w:r>
              <w:rPr>
                <w:sz w:val="14"/>
              </w:rPr>
              <w:t>45,0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6 500</w:t>
            </w:r>
          </w:p>
        </w:tc>
        <w:tc>
          <w:tcPr>
            <w:tcW w:type="dxa" w:w="1134"/>
            <w:shd w:val="clear" w:color="auto" w:fill="EBF3FA"/>
          </w:tcPr>
          <w:p>
            <w:pPr>
              <w:jc w:val="center"/>
            </w:pPr>
            <w:r>
              <w:rPr>
                <w:sz w:val="14"/>
              </w:rPr>
              <w:t>350 000</w:t>
            </w:r>
          </w:p>
        </w:tc>
        <w:tc>
          <w:tcPr>
            <w:tcW w:type="dxa" w:w="680"/>
            <w:shd w:val="clear" w:color="auto" w:fill="EBF3FA"/>
          </w:tcPr>
          <w:p>
            <w:pPr>
              <w:jc w:val="center"/>
            </w:pPr>
            <w:r>
              <w:rPr>
                <w:sz w:val="14"/>
              </w:rPr>
              <w:t>2010</w:t>
            </w:r>
          </w:p>
        </w:tc>
        <w:tc>
          <w:tcPr>
            <w:tcW w:type="dxa" w:w="454"/>
            <w:shd w:val="clear" w:color="auto" w:fill="EBF3FA"/>
          </w:tcPr>
          <w:p>
            <w:pPr>
              <w:jc w:val="center"/>
            </w:pPr>
            <w:r>
              <w:rPr>
                <w:sz w:val="14"/>
              </w:rPr>
              <w:t>1</w:t>
            </w:r>
          </w:p>
        </w:tc>
      </w:tr>
    </w:tbl>
    <w:p>
      <w:r>
        <w:rPr>
          <w:i/>
          <w:color w:val="555555"/>
          <w:sz w:val="18"/>
        </w:rPr>
        <w:t>Puissance installée zone : 953,0 kW — Consommation estimée : 6 509 500 kWh/an</w:t>
      </w:r>
    </w:p>
    <w:p/>
    <w:p>
      <w:pPr>
        <w:shd w:val="clear" w:color="auto" w:fill="D6E4F0"/>
      </w:pPr>
      <w:r>
        <w:rPr>
          <w:b/>
          <w:color w:val="1F4E79"/>
          <w:sz w:val="22"/>
        </w:rPr>
        <w:t xml:space="preserve">  Quai de chargement (2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Éclairage extérieur</w:t>
            </w:r>
          </w:p>
        </w:tc>
        <w:tc>
          <w:tcPr>
            <w:tcW w:type="dxa" w:w="1587"/>
            <w:shd w:val="clear" w:color="auto" w:fill="FFFFFF"/>
          </w:tcPr>
          <w:p>
            <w:pPr>
              <w:jc w:val="center"/>
            </w:pPr>
            <w:r>
              <w:rPr>
                <w:sz w:val="14"/>
              </w:rPr>
              <w:t>Philips CoreLine BVP120</w:t>
            </w:r>
          </w:p>
        </w:tc>
        <w:tc>
          <w:tcPr>
            <w:tcW w:type="dxa" w:w="737"/>
            <w:shd w:val="clear" w:color="auto" w:fill="FFFFFF"/>
          </w:tcPr>
          <w:p>
            <w:pPr>
              <w:jc w:val="center"/>
            </w:pPr>
            <w:r>
              <w:rPr>
                <w:sz w:val="14"/>
              </w:rPr>
              <w:t>1,2</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4 000</w:t>
            </w:r>
          </w:p>
        </w:tc>
        <w:tc>
          <w:tcPr>
            <w:tcW w:type="dxa" w:w="1134"/>
            <w:shd w:val="clear" w:color="auto" w:fill="FFFFFF"/>
          </w:tcPr>
          <w:p>
            <w:pPr>
              <w:jc w:val="center"/>
            </w:pPr>
            <w:r>
              <w:rPr>
                <w:sz w:val="14"/>
              </w:rPr>
              <w:t>4 800</w:t>
            </w:r>
          </w:p>
        </w:tc>
        <w:tc>
          <w:tcPr>
            <w:tcW w:type="dxa" w:w="680"/>
            <w:shd w:val="clear" w:color="auto" w:fill="FFFFFF"/>
          </w:tcPr>
          <w:p>
            <w:pPr>
              <w:jc w:val="center"/>
            </w:pPr>
            <w:r>
              <w:rPr>
                <w:sz w:val="14"/>
              </w:rPr>
              <w:t>2020</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Niveleur de quai</w:t>
            </w:r>
          </w:p>
        </w:tc>
        <w:tc>
          <w:tcPr>
            <w:tcW w:type="dxa" w:w="1587"/>
            <w:shd w:val="clear" w:color="auto" w:fill="EBF3FA"/>
          </w:tcPr>
          <w:p>
            <w:pPr>
              <w:jc w:val="center"/>
            </w:pPr>
            <w:r>
              <w:rPr>
                <w:sz w:val="14"/>
              </w:rPr>
              <w:t>Hörmann HTL 1500</w:t>
            </w:r>
          </w:p>
        </w:tc>
        <w:tc>
          <w:tcPr>
            <w:tcW w:type="dxa" w:w="737"/>
            <w:shd w:val="clear" w:color="auto" w:fill="EBF3FA"/>
          </w:tcPr>
          <w:p>
            <w:pPr>
              <w:jc w:val="center"/>
            </w:pPr>
            <w:r>
              <w:rPr>
                <w:sz w:val="14"/>
              </w:rPr>
              <w:t>2,2</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2 000</w:t>
            </w:r>
          </w:p>
        </w:tc>
        <w:tc>
          <w:tcPr>
            <w:tcW w:type="dxa" w:w="1134"/>
            <w:shd w:val="clear" w:color="auto" w:fill="EBF3FA"/>
          </w:tcPr>
          <w:p>
            <w:pPr>
              <w:jc w:val="center"/>
            </w:pPr>
            <w:r>
              <w:rPr>
                <w:sz w:val="14"/>
              </w:rPr>
              <w:t>4 400</w:t>
            </w:r>
          </w:p>
        </w:tc>
        <w:tc>
          <w:tcPr>
            <w:tcW w:type="dxa" w:w="680"/>
            <w:shd w:val="clear" w:color="auto" w:fill="EBF3FA"/>
          </w:tcPr>
          <w:p>
            <w:pPr>
              <w:jc w:val="center"/>
            </w:pPr>
            <w:r>
              <w:rPr>
                <w:sz w:val="14"/>
              </w:rPr>
              <w:t>2015</w:t>
            </w:r>
          </w:p>
        </w:tc>
        <w:tc>
          <w:tcPr>
            <w:tcW w:type="dxa" w:w="454"/>
            <w:shd w:val="clear" w:color="auto" w:fill="EBF3FA"/>
          </w:tcPr>
          <w:p>
            <w:pPr>
              <w:jc w:val="center"/>
            </w:pPr>
            <w:r>
              <w:rPr>
                <w:sz w:val="14"/>
              </w:rPr>
              <w:t>1</w:t>
            </w:r>
          </w:p>
        </w:tc>
      </w:tr>
    </w:tbl>
    <w:p>
      <w:r>
        <w:rPr>
          <w:i/>
          <w:color w:val="555555"/>
          <w:sz w:val="18"/>
        </w:rPr>
        <w:t>Puissance installée zone : 3,4 kW — Consommation estimée : 9 200 kWh/an</w:t>
      </w:r>
    </w:p>
    <w:p/>
    <w:p>
      <w:pPr>
        <w:shd w:val="clear" w:color="auto" w:fill="D6E4F0"/>
      </w:pPr>
      <w:r>
        <w:rPr>
          <w:b/>
          <w:color w:val="1F4E79"/>
          <w:sz w:val="22"/>
        </w:rPr>
        <w:t xml:space="preserve">  Réfectoire (3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Chambre froide positive</w:t>
            </w:r>
          </w:p>
        </w:tc>
        <w:tc>
          <w:tcPr>
            <w:tcW w:type="dxa" w:w="1587"/>
            <w:shd w:val="clear" w:color="auto" w:fill="FFFFFF"/>
          </w:tcPr>
          <w:p>
            <w:pPr>
              <w:jc w:val="center"/>
            </w:pPr>
            <w:r>
              <w:rPr>
                <w:sz w:val="14"/>
              </w:rPr>
              <w:t>Zanotti MGM315</w:t>
            </w:r>
          </w:p>
        </w:tc>
        <w:tc>
          <w:tcPr>
            <w:tcW w:type="dxa" w:w="737"/>
            <w:shd w:val="clear" w:color="auto" w:fill="FFFFFF"/>
          </w:tcPr>
          <w:p>
            <w:pPr>
              <w:jc w:val="center"/>
            </w:pPr>
            <w:r>
              <w:rPr>
                <w:sz w:val="14"/>
              </w:rPr>
              <w:t>4,0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8 760</w:t>
            </w:r>
          </w:p>
        </w:tc>
        <w:tc>
          <w:tcPr>
            <w:tcW w:type="dxa" w:w="1134"/>
            <w:shd w:val="clear" w:color="auto" w:fill="FFFFFF"/>
          </w:tcPr>
          <w:p>
            <w:pPr>
              <w:jc w:val="center"/>
            </w:pPr>
            <w:r>
              <w:rPr>
                <w:sz w:val="14"/>
              </w:rPr>
              <w:t>35 040</w:t>
            </w:r>
          </w:p>
        </w:tc>
        <w:tc>
          <w:tcPr>
            <w:tcW w:type="dxa" w:w="680"/>
            <w:shd w:val="clear" w:color="auto" w:fill="FFFFFF"/>
          </w:tcPr>
          <w:p>
            <w:pPr>
              <w:jc w:val="center"/>
            </w:pPr>
            <w:r>
              <w:rPr>
                <w:sz w:val="14"/>
              </w:rPr>
              <w:t>2014</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Climatisation</w:t>
            </w:r>
          </w:p>
        </w:tc>
        <w:tc>
          <w:tcPr>
            <w:tcW w:type="dxa" w:w="1587"/>
            <w:shd w:val="clear" w:color="auto" w:fill="EBF3FA"/>
          </w:tcPr>
          <w:p>
            <w:pPr>
              <w:jc w:val="center"/>
            </w:pPr>
            <w:r>
              <w:rPr>
                <w:sz w:val="14"/>
              </w:rPr>
              <w:t>Mitsubishi MSZ-AP50VG</w:t>
            </w:r>
          </w:p>
        </w:tc>
        <w:tc>
          <w:tcPr>
            <w:tcW w:type="dxa" w:w="737"/>
            <w:shd w:val="clear" w:color="auto" w:fill="EBF3FA"/>
          </w:tcPr>
          <w:p>
            <w:pPr>
              <w:jc w:val="center"/>
            </w:pPr>
            <w:r>
              <w:rPr>
                <w:sz w:val="14"/>
              </w:rPr>
              <w:t>5,0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2 000</w:t>
            </w:r>
          </w:p>
        </w:tc>
        <w:tc>
          <w:tcPr>
            <w:tcW w:type="dxa" w:w="1134"/>
            <w:shd w:val="clear" w:color="auto" w:fill="EBF3FA"/>
          </w:tcPr>
          <w:p>
            <w:pPr>
              <w:jc w:val="center"/>
            </w:pPr>
            <w:r>
              <w:rPr>
                <w:sz w:val="14"/>
              </w:rPr>
              <w:t>10 000</w:t>
            </w:r>
          </w:p>
        </w:tc>
        <w:tc>
          <w:tcPr>
            <w:tcW w:type="dxa" w:w="680"/>
            <w:shd w:val="clear" w:color="auto" w:fill="EBF3FA"/>
          </w:tcPr>
          <w:p>
            <w:pPr>
              <w:jc w:val="center"/>
            </w:pPr>
            <w:r>
              <w:rPr>
                <w:sz w:val="14"/>
              </w:rPr>
              <w:t>2019</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Four de remise en température gaz</w:t>
            </w:r>
          </w:p>
        </w:tc>
        <w:tc>
          <w:tcPr>
            <w:tcW w:type="dxa" w:w="1587"/>
            <w:shd w:val="clear" w:color="auto" w:fill="FFFFFF"/>
          </w:tcPr>
          <w:p>
            <w:pPr>
              <w:jc w:val="center"/>
            </w:pPr>
            <w:r>
              <w:rPr>
                <w:sz w:val="14"/>
              </w:rPr>
              <w:t>Rational SCC 61G</w:t>
            </w:r>
          </w:p>
        </w:tc>
        <w:tc>
          <w:tcPr>
            <w:tcW w:type="dxa" w:w="737"/>
            <w:shd w:val="clear" w:color="auto" w:fill="FFFFFF"/>
          </w:tcPr>
          <w:p>
            <w:pPr>
              <w:jc w:val="center"/>
            </w:pPr>
            <w:r>
              <w:rPr>
                <w:sz w:val="14"/>
              </w:rPr>
              <w:t>20,0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1 200</w:t>
            </w:r>
          </w:p>
        </w:tc>
        <w:tc>
          <w:tcPr>
            <w:tcW w:type="dxa" w:w="1134"/>
            <w:shd w:val="clear" w:color="auto" w:fill="FFFFFF"/>
          </w:tcPr>
          <w:p>
            <w:pPr>
              <w:jc w:val="center"/>
            </w:pPr>
            <w:r>
              <w:rPr>
                <w:sz w:val="14"/>
              </w:rPr>
              <w:t>24 000</w:t>
            </w:r>
          </w:p>
        </w:tc>
        <w:tc>
          <w:tcPr>
            <w:tcW w:type="dxa" w:w="680"/>
            <w:shd w:val="clear" w:color="auto" w:fill="FFFFFF"/>
          </w:tcPr>
          <w:p>
            <w:pPr>
              <w:jc w:val="center"/>
            </w:pPr>
            <w:r>
              <w:rPr>
                <w:sz w:val="14"/>
              </w:rPr>
              <w:t>2018</w:t>
            </w:r>
          </w:p>
        </w:tc>
        <w:tc>
          <w:tcPr>
            <w:tcW w:type="dxa" w:w="454"/>
            <w:shd w:val="clear" w:color="auto" w:fill="FFFFFF"/>
          </w:tcPr>
          <w:p>
            <w:pPr>
              <w:jc w:val="center"/>
            </w:pPr>
            <w:r>
              <w:rPr>
                <w:sz w:val="14"/>
              </w:rPr>
              <w:t>1</w:t>
            </w:r>
          </w:p>
        </w:tc>
      </w:tr>
    </w:tbl>
    <w:p>
      <w:r>
        <w:rPr>
          <w:i/>
          <w:color w:val="555555"/>
          <w:sz w:val="18"/>
        </w:rPr>
        <w:t>Puissance installée zone : 29,0 kW — Consommation estimée : 69 040 kWh/an</w:t>
      </w:r>
    </w:p>
    <w:p/>
    <w:p>
      <w:pPr>
        <w:shd w:val="clear" w:color="auto" w:fill="D6E4F0"/>
      </w:pPr>
      <w:r>
        <w:rPr>
          <w:b/>
          <w:color w:val="1F4E79"/>
          <w:sz w:val="22"/>
        </w:rPr>
        <w:t xml:space="preserve">  Salle compresseurs (3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Compresseur à vis</w:t>
            </w:r>
          </w:p>
        </w:tc>
        <w:tc>
          <w:tcPr>
            <w:tcW w:type="dxa" w:w="1587"/>
            <w:shd w:val="clear" w:color="auto" w:fill="FFFFFF"/>
          </w:tcPr>
          <w:p>
            <w:pPr>
              <w:jc w:val="center"/>
            </w:pPr>
            <w:r>
              <w:rPr>
                <w:sz w:val="14"/>
              </w:rPr>
              <w:t>Atlas Copco GA 22</w:t>
            </w:r>
          </w:p>
        </w:tc>
        <w:tc>
          <w:tcPr>
            <w:tcW w:type="dxa" w:w="737"/>
            <w:shd w:val="clear" w:color="auto" w:fill="FFFFFF"/>
          </w:tcPr>
          <w:p>
            <w:pPr>
              <w:jc w:val="center"/>
            </w:pPr>
            <w:r>
              <w:rPr>
                <w:sz w:val="14"/>
              </w:rPr>
              <w:t>22,0</w:t>
            </w:r>
          </w:p>
        </w:tc>
        <w:tc>
          <w:tcPr>
            <w:tcW w:type="dxa" w:w="737"/>
            <w:shd w:val="clear" w:color="auto" w:fill="FFFFFF"/>
          </w:tcPr>
          <w:p>
            <w:pPr>
              <w:jc w:val="center"/>
            </w:pPr>
            <w:r>
              <w:rPr>
                <w:sz w:val="14"/>
              </w:rPr>
              <w:t>IE1</w:t>
            </w:r>
          </w:p>
        </w:tc>
        <w:tc>
          <w:tcPr>
            <w:tcW w:type="dxa" w:w="850"/>
            <w:shd w:val="clear" w:color="auto" w:fill="FFFFFF"/>
          </w:tcPr>
          <w:p>
            <w:pPr>
              <w:jc w:val="center"/>
            </w:pPr>
            <w:r>
              <w:rPr>
                <w:sz w:val="14"/>
              </w:rPr>
              <w:t>4 000</w:t>
            </w:r>
          </w:p>
        </w:tc>
        <w:tc>
          <w:tcPr>
            <w:tcW w:type="dxa" w:w="1134"/>
            <w:shd w:val="clear" w:color="auto" w:fill="FFFFFF"/>
          </w:tcPr>
          <w:p>
            <w:pPr>
              <w:jc w:val="center"/>
            </w:pPr>
            <w:r>
              <w:rPr>
                <w:sz w:val="14"/>
              </w:rPr>
              <w:t>115 000</w:t>
            </w:r>
          </w:p>
        </w:tc>
        <w:tc>
          <w:tcPr>
            <w:tcW w:type="dxa" w:w="680"/>
            <w:shd w:val="clear" w:color="auto" w:fill="FFFFFF"/>
          </w:tcPr>
          <w:p>
            <w:pPr>
              <w:jc w:val="center"/>
            </w:pPr>
            <w:r>
              <w:rPr>
                <w:sz w:val="14"/>
              </w:rPr>
              <w:t>2008</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Compresseur à vis</w:t>
            </w:r>
          </w:p>
        </w:tc>
        <w:tc>
          <w:tcPr>
            <w:tcW w:type="dxa" w:w="1587"/>
            <w:shd w:val="clear" w:color="auto" w:fill="EBF3FA"/>
          </w:tcPr>
          <w:p>
            <w:pPr>
              <w:jc w:val="center"/>
            </w:pPr>
            <w:r>
              <w:rPr>
                <w:sz w:val="14"/>
              </w:rPr>
              <w:t>Atlas Copco GA 37 VSD+</w:t>
            </w:r>
          </w:p>
        </w:tc>
        <w:tc>
          <w:tcPr>
            <w:tcW w:type="dxa" w:w="737"/>
            <w:shd w:val="clear" w:color="auto" w:fill="EBF3FA"/>
          </w:tcPr>
          <w:p>
            <w:pPr>
              <w:jc w:val="center"/>
            </w:pPr>
            <w:r>
              <w:rPr>
                <w:sz w:val="14"/>
              </w:rPr>
              <w:t>37,0</w:t>
            </w:r>
          </w:p>
        </w:tc>
        <w:tc>
          <w:tcPr>
            <w:tcW w:type="dxa" w:w="737"/>
            <w:shd w:val="clear" w:color="auto" w:fill="EBF3FA"/>
          </w:tcPr>
          <w:p>
            <w:pPr>
              <w:jc w:val="center"/>
            </w:pPr>
            <w:r>
              <w:rPr>
                <w:sz w:val="14"/>
              </w:rPr>
              <w:t>IE3</w:t>
            </w:r>
          </w:p>
        </w:tc>
        <w:tc>
          <w:tcPr>
            <w:tcW w:type="dxa" w:w="850"/>
            <w:shd w:val="clear" w:color="auto" w:fill="EBF3FA"/>
          </w:tcPr>
          <w:p>
            <w:pPr>
              <w:jc w:val="center"/>
            </w:pPr>
            <w:r>
              <w:rPr>
                <w:sz w:val="14"/>
              </w:rPr>
              <w:t>6 500</w:t>
            </w:r>
          </w:p>
        </w:tc>
        <w:tc>
          <w:tcPr>
            <w:tcW w:type="dxa" w:w="1134"/>
            <w:shd w:val="clear" w:color="auto" w:fill="EBF3FA"/>
          </w:tcPr>
          <w:p>
            <w:pPr>
              <w:jc w:val="center"/>
            </w:pPr>
            <w:r>
              <w:rPr>
                <w:sz w:val="14"/>
              </w:rPr>
              <w:t>295 000</w:t>
            </w:r>
          </w:p>
        </w:tc>
        <w:tc>
          <w:tcPr>
            <w:tcW w:type="dxa" w:w="680"/>
            <w:shd w:val="clear" w:color="auto" w:fill="EBF3FA"/>
          </w:tcPr>
          <w:p>
            <w:pPr>
              <w:jc w:val="center"/>
            </w:pPr>
            <w:r>
              <w:rPr>
                <w:sz w:val="14"/>
              </w:rPr>
              <w:t>2016</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Sécheur air comprimé</w:t>
            </w:r>
          </w:p>
        </w:tc>
        <w:tc>
          <w:tcPr>
            <w:tcW w:type="dxa" w:w="1587"/>
            <w:shd w:val="clear" w:color="auto" w:fill="FFFFFF"/>
          </w:tcPr>
          <w:p>
            <w:pPr>
              <w:jc w:val="center"/>
            </w:pPr>
            <w:r>
              <w:rPr>
                <w:sz w:val="14"/>
              </w:rPr>
              <w:t>Atlas Copco FD 150</w:t>
            </w:r>
          </w:p>
        </w:tc>
        <w:tc>
          <w:tcPr>
            <w:tcW w:type="dxa" w:w="737"/>
            <w:shd w:val="clear" w:color="auto" w:fill="FFFFFF"/>
          </w:tcPr>
          <w:p>
            <w:pPr>
              <w:jc w:val="center"/>
            </w:pPr>
            <w:r>
              <w:rPr>
                <w:sz w:val="14"/>
              </w:rPr>
              <w:t>4,5</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6 500</w:t>
            </w:r>
          </w:p>
        </w:tc>
        <w:tc>
          <w:tcPr>
            <w:tcW w:type="dxa" w:w="1134"/>
            <w:shd w:val="clear" w:color="auto" w:fill="FFFFFF"/>
          </w:tcPr>
          <w:p>
            <w:pPr>
              <w:jc w:val="center"/>
            </w:pPr>
            <w:r>
              <w:rPr>
                <w:sz w:val="14"/>
              </w:rPr>
              <w:t>29 250</w:t>
            </w:r>
          </w:p>
        </w:tc>
        <w:tc>
          <w:tcPr>
            <w:tcW w:type="dxa" w:w="680"/>
            <w:shd w:val="clear" w:color="auto" w:fill="FFFFFF"/>
          </w:tcPr>
          <w:p>
            <w:pPr>
              <w:jc w:val="center"/>
            </w:pPr>
            <w:r>
              <w:rPr>
                <w:sz w:val="14"/>
              </w:rPr>
              <w:t>2016</w:t>
            </w:r>
          </w:p>
        </w:tc>
        <w:tc>
          <w:tcPr>
            <w:tcW w:type="dxa" w:w="454"/>
            <w:shd w:val="clear" w:color="auto" w:fill="FFFFFF"/>
          </w:tcPr>
          <w:p>
            <w:pPr>
              <w:jc w:val="center"/>
            </w:pPr>
            <w:r>
              <w:rPr>
                <w:sz w:val="14"/>
              </w:rPr>
              <w:t>1</w:t>
            </w:r>
          </w:p>
        </w:tc>
      </w:tr>
    </w:tbl>
    <w:p>
      <w:r>
        <w:rPr>
          <w:i/>
          <w:color w:val="555555"/>
          <w:sz w:val="18"/>
        </w:rPr>
        <w:t>Puissance installée zone : 63,5 kW — Consommation estimée : 439 250 kWh/an</w:t>
      </w:r>
    </w:p>
    <w:p/>
    <w:p>
      <w:pPr>
        <w:shd w:val="clear" w:color="auto" w:fill="D6E4F0"/>
      </w:pPr>
      <w:r>
        <w:rPr>
          <w:b/>
          <w:color w:val="1F4E79"/>
          <w:sz w:val="22"/>
        </w:rPr>
        <w:t xml:space="preserve">  Sanitaires (1 équipement)</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VMC simple flux</w:t>
            </w:r>
          </w:p>
        </w:tc>
        <w:tc>
          <w:tcPr>
            <w:tcW w:type="dxa" w:w="1587"/>
            <w:shd w:val="clear" w:color="auto" w:fill="FFFFFF"/>
          </w:tcPr>
          <w:p>
            <w:pPr>
              <w:jc w:val="center"/>
            </w:pPr>
            <w:r>
              <w:rPr>
                <w:sz w:val="14"/>
              </w:rPr>
              <w:t>Aldes VEC 382H</w:t>
            </w:r>
          </w:p>
        </w:tc>
        <w:tc>
          <w:tcPr>
            <w:tcW w:type="dxa" w:w="737"/>
            <w:shd w:val="clear" w:color="auto" w:fill="FFFFFF"/>
          </w:tcPr>
          <w:p>
            <w:pPr>
              <w:jc w:val="center"/>
            </w:pPr>
            <w:r>
              <w:rPr>
                <w:sz w:val="14"/>
              </w:rPr>
              <w:t>0,6</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4 500</w:t>
            </w:r>
          </w:p>
        </w:tc>
        <w:tc>
          <w:tcPr>
            <w:tcW w:type="dxa" w:w="1134"/>
            <w:shd w:val="clear" w:color="auto" w:fill="FFFFFF"/>
          </w:tcPr>
          <w:p>
            <w:pPr>
              <w:jc w:val="center"/>
            </w:pPr>
            <w:r>
              <w:rPr>
                <w:sz w:val="14"/>
              </w:rPr>
              <w:t>2 475</w:t>
            </w:r>
          </w:p>
        </w:tc>
        <w:tc>
          <w:tcPr>
            <w:tcW w:type="dxa" w:w="680"/>
            <w:shd w:val="clear" w:color="auto" w:fill="FFFFFF"/>
          </w:tcPr>
          <w:p>
            <w:pPr>
              <w:jc w:val="center"/>
            </w:pPr>
            <w:r>
              <w:rPr>
                <w:sz w:val="14"/>
              </w:rPr>
              <w:t>2010</w:t>
            </w:r>
          </w:p>
        </w:tc>
        <w:tc>
          <w:tcPr>
            <w:tcW w:type="dxa" w:w="454"/>
            <w:shd w:val="clear" w:color="auto" w:fill="FFFFFF"/>
          </w:tcPr>
          <w:p>
            <w:pPr>
              <w:jc w:val="center"/>
            </w:pPr>
            <w:r>
              <w:rPr>
                <w:sz w:val="14"/>
              </w:rPr>
              <w:t>1</w:t>
            </w:r>
          </w:p>
        </w:tc>
      </w:tr>
    </w:tbl>
    <w:p>
      <w:r>
        <w:rPr>
          <w:i/>
          <w:color w:val="555555"/>
          <w:sz w:val="18"/>
        </w:rPr>
        <w:t>Puissance installée zone : 0,6 kW — Consommation estimée : 2 475 kWh/an</w:t>
      </w:r>
    </w:p>
    <w:p/>
    <w:p>
      <w:pPr>
        <w:shd w:val="clear" w:color="auto" w:fill="D6E4F0"/>
      </w:pPr>
      <w:r>
        <w:rPr>
          <w:b/>
          <w:color w:val="1F4E79"/>
          <w:sz w:val="22"/>
        </w:rPr>
        <w:t xml:space="preserve">  Traitement thermique (4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Bac de trempe</w:t>
            </w:r>
          </w:p>
        </w:tc>
        <w:tc>
          <w:tcPr>
            <w:tcW w:type="dxa" w:w="1587"/>
            <w:shd w:val="clear" w:color="auto" w:fill="FFFFFF"/>
          </w:tcPr>
          <w:p>
            <w:pPr>
              <w:jc w:val="center"/>
            </w:pPr>
            <w:r>
              <w:rPr>
                <w:sz w:val="14"/>
              </w:rPr>
              <w:t>Système sur mesure BT-3000L</w:t>
            </w:r>
          </w:p>
        </w:tc>
        <w:tc>
          <w:tcPr>
            <w:tcW w:type="dxa" w:w="737"/>
            <w:shd w:val="clear" w:color="auto" w:fill="FFFFFF"/>
          </w:tcPr>
          <w:p>
            <w:pPr>
              <w:jc w:val="center"/>
            </w:pPr>
            <w:r>
              <w:rPr>
                <w:sz w:val="14"/>
              </w:rPr>
              <w:t>30,0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4 000</w:t>
            </w:r>
          </w:p>
        </w:tc>
        <w:tc>
          <w:tcPr>
            <w:tcW w:type="dxa" w:w="1134"/>
            <w:shd w:val="clear" w:color="auto" w:fill="FFFFFF"/>
          </w:tcPr>
          <w:p>
            <w:pPr>
              <w:jc w:val="center"/>
            </w:pPr>
            <w:r>
              <w:rPr>
                <w:sz w:val="14"/>
              </w:rPr>
              <w:t>120 000</w:t>
            </w:r>
          </w:p>
        </w:tc>
        <w:tc>
          <w:tcPr>
            <w:tcW w:type="dxa" w:w="680"/>
            <w:shd w:val="clear" w:color="auto" w:fill="FFFFFF"/>
          </w:tcPr>
          <w:p>
            <w:pPr>
              <w:jc w:val="center"/>
            </w:pPr>
            <w:r>
              <w:rPr>
                <w:sz w:val="14"/>
              </w:rPr>
              <w:t>2010</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Four de mise en solution</w:t>
            </w:r>
          </w:p>
        </w:tc>
        <w:tc>
          <w:tcPr>
            <w:tcW w:type="dxa" w:w="1587"/>
            <w:shd w:val="clear" w:color="auto" w:fill="EBF3FA"/>
          </w:tcPr>
          <w:p>
            <w:pPr>
              <w:jc w:val="center"/>
            </w:pPr>
            <w:r>
              <w:rPr>
                <w:sz w:val="14"/>
              </w:rPr>
              <w:t>Nabertherm N 1500/26</w:t>
            </w:r>
          </w:p>
        </w:tc>
        <w:tc>
          <w:tcPr>
            <w:tcW w:type="dxa" w:w="737"/>
            <w:shd w:val="clear" w:color="auto" w:fill="EBF3FA"/>
          </w:tcPr>
          <w:p>
            <w:pPr>
              <w:jc w:val="center"/>
            </w:pPr>
            <w:r>
              <w:rPr>
                <w:sz w:val="14"/>
              </w:rPr>
              <w:t>120,0</w:t>
            </w:r>
          </w:p>
        </w:tc>
        <w:tc>
          <w:tcPr>
            <w:tcW w:type="dxa" w:w="737"/>
            <w:shd w:val="clear" w:color="auto" w:fill="EBF3FA"/>
          </w:tcPr>
          <w:p>
            <w:pPr>
              <w:jc w:val="center"/>
            </w:pPr>
            <w:r>
              <w:rPr>
                <w:sz w:val="14"/>
              </w:rPr>
              <w:t>82%</w:t>
            </w:r>
          </w:p>
        </w:tc>
        <w:tc>
          <w:tcPr>
            <w:tcW w:type="dxa" w:w="850"/>
            <w:shd w:val="clear" w:color="auto" w:fill="EBF3FA"/>
          </w:tcPr>
          <w:p>
            <w:pPr>
              <w:jc w:val="center"/>
            </w:pPr>
            <w:r>
              <w:rPr>
                <w:sz w:val="14"/>
              </w:rPr>
              <w:t>5 000</w:t>
            </w:r>
          </w:p>
        </w:tc>
        <w:tc>
          <w:tcPr>
            <w:tcW w:type="dxa" w:w="1134"/>
            <w:shd w:val="clear" w:color="auto" w:fill="EBF3FA"/>
          </w:tcPr>
          <w:p>
            <w:pPr>
              <w:jc w:val="center"/>
            </w:pPr>
            <w:r>
              <w:rPr>
                <w:sz w:val="14"/>
              </w:rPr>
              <w:t>600 000</w:t>
            </w:r>
          </w:p>
        </w:tc>
        <w:tc>
          <w:tcPr>
            <w:tcW w:type="dxa" w:w="680"/>
            <w:shd w:val="clear" w:color="auto" w:fill="EBF3FA"/>
          </w:tcPr>
          <w:p>
            <w:pPr>
              <w:jc w:val="center"/>
            </w:pPr>
            <w:r>
              <w:rPr>
                <w:sz w:val="14"/>
              </w:rPr>
              <w:t>2010</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Four de revenu</w:t>
            </w:r>
          </w:p>
        </w:tc>
        <w:tc>
          <w:tcPr>
            <w:tcW w:type="dxa" w:w="1587"/>
            <w:shd w:val="clear" w:color="auto" w:fill="FFFFFF"/>
          </w:tcPr>
          <w:p>
            <w:pPr>
              <w:jc w:val="center"/>
            </w:pPr>
            <w:r>
              <w:rPr>
                <w:sz w:val="14"/>
              </w:rPr>
              <w:t>Nabertherm N 500/12</w:t>
            </w:r>
          </w:p>
        </w:tc>
        <w:tc>
          <w:tcPr>
            <w:tcW w:type="dxa" w:w="737"/>
            <w:shd w:val="clear" w:color="auto" w:fill="FFFFFF"/>
          </w:tcPr>
          <w:p>
            <w:pPr>
              <w:jc w:val="center"/>
            </w:pPr>
            <w:r>
              <w:rPr>
                <w:sz w:val="14"/>
              </w:rPr>
              <w:t>80,0</w:t>
            </w:r>
          </w:p>
        </w:tc>
        <w:tc>
          <w:tcPr>
            <w:tcW w:type="dxa" w:w="737"/>
            <w:shd w:val="clear" w:color="auto" w:fill="FFFFFF"/>
          </w:tcPr>
          <w:p>
            <w:pPr>
              <w:jc w:val="center"/>
            </w:pPr>
            <w:r>
              <w:rPr>
                <w:sz w:val="14"/>
              </w:rPr>
              <w:t>85%</w:t>
            </w:r>
          </w:p>
        </w:tc>
        <w:tc>
          <w:tcPr>
            <w:tcW w:type="dxa" w:w="850"/>
            <w:shd w:val="clear" w:color="auto" w:fill="FFFFFF"/>
          </w:tcPr>
          <w:p>
            <w:pPr>
              <w:jc w:val="center"/>
            </w:pPr>
            <w:r>
              <w:rPr>
                <w:sz w:val="14"/>
              </w:rPr>
              <w:t>4 500</w:t>
            </w:r>
          </w:p>
        </w:tc>
        <w:tc>
          <w:tcPr>
            <w:tcW w:type="dxa" w:w="1134"/>
            <w:shd w:val="clear" w:color="auto" w:fill="FFFFFF"/>
          </w:tcPr>
          <w:p>
            <w:pPr>
              <w:jc w:val="center"/>
            </w:pPr>
            <w:r>
              <w:rPr>
                <w:sz w:val="14"/>
              </w:rPr>
              <w:t>360 000</w:t>
            </w:r>
          </w:p>
        </w:tc>
        <w:tc>
          <w:tcPr>
            <w:tcW w:type="dxa" w:w="680"/>
            <w:shd w:val="clear" w:color="auto" w:fill="FFFFFF"/>
          </w:tcPr>
          <w:p>
            <w:pPr>
              <w:jc w:val="center"/>
            </w:pPr>
            <w:r>
              <w:rPr>
                <w:sz w:val="14"/>
              </w:rPr>
              <w:t>2010</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4</w:t>
            </w:r>
          </w:p>
        </w:tc>
        <w:tc>
          <w:tcPr>
            <w:tcW w:type="dxa" w:w="1587"/>
            <w:shd w:val="clear" w:color="auto" w:fill="EBF3FA"/>
          </w:tcPr>
          <w:p>
            <w:pPr>
              <w:jc w:val="center"/>
            </w:pPr>
            <w:r>
              <w:rPr>
                <w:sz w:val="14"/>
              </w:rPr>
              <w:t>Pont roulant</w:t>
            </w:r>
          </w:p>
        </w:tc>
        <w:tc>
          <w:tcPr>
            <w:tcW w:type="dxa" w:w="1587"/>
            <w:shd w:val="clear" w:color="auto" w:fill="EBF3FA"/>
          </w:tcPr>
          <w:p>
            <w:pPr>
              <w:jc w:val="center"/>
            </w:pPr>
            <w:r>
              <w:rPr>
                <w:sz w:val="14"/>
              </w:rPr>
              <w:t>Verlinde EUROBLOC VT5</w:t>
            </w:r>
          </w:p>
        </w:tc>
        <w:tc>
          <w:tcPr>
            <w:tcW w:type="dxa" w:w="737"/>
            <w:shd w:val="clear" w:color="auto" w:fill="EBF3FA"/>
          </w:tcPr>
          <w:p>
            <w:pPr>
              <w:jc w:val="center"/>
            </w:pPr>
            <w:r>
              <w:rPr>
                <w:sz w:val="14"/>
              </w:rPr>
              <w:t>8,0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4 500</w:t>
            </w:r>
          </w:p>
        </w:tc>
        <w:tc>
          <w:tcPr>
            <w:tcW w:type="dxa" w:w="1134"/>
            <w:shd w:val="clear" w:color="auto" w:fill="EBF3FA"/>
          </w:tcPr>
          <w:p>
            <w:pPr>
              <w:jc w:val="center"/>
            </w:pPr>
            <w:r>
              <w:rPr>
                <w:sz w:val="14"/>
              </w:rPr>
              <w:t>36 000</w:t>
            </w:r>
          </w:p>
        </w:tc>
        <w:tc>
          <w:tcPr>
            <w:tcW w:type="dxa" w:w="680"/>
            <w:shd w:val="clear" w:color="auto" w:fill="EBF3FA"/>
          </w:tcPr>
          <w:p>
            <w:pPr>
              <w:jc w:val="center"/>
            </w:pPr>
            <w:r>
              <w:rPr>
                <w:sz w:val="14"/>
              </w:rPr>
              <w:t>2012</w:t>
            </w:r>
          </w:p>
        </w:tc>
        <w:tc>
          <w:tcPr>
            <w:tcW w:type="dxa" w:w="454"/>
            <w:shd w:val="clear" w:color="auto" w:fill="EBF3FA"/>
          </w:tcPr>
          <w:p>
            <w:pPr>
              <w:jc w:val="center"/>
            </w:pPr>
            <w:r>
              <w:rPr>
                <w:sz w:val="14"/>
              </w:rPr>
              <w:t>1</w:t>
            </w:r>
          </w:p>
        </w:tc>
      </w:tr>
    </w:tbl>
    <w:p>
      <w:r>
        <w:rPr>
          <w:i/>
          <w:color w:val="555555"/>
          <w:sz w:val="18"/>
        </w:rPr>
        <w:t>Puissance installée zone : 238,0 kW — Consommation estimée : 1 116 000 kWh/an</w:t>
      </w:r>
    </w:p>
    <w:p/>
    <w:p>
      <w:pPr>
        <w:shd w:val="clear" w:color="auto" w:fill="D6E4F0"/>
      </w:pPr>
      <w:r>
        <w:rPr>
          <w:b/>
          <w:color w:val="1F4E79"/>
          <w:sz w:val="22"/>
        </w:rPr>
        <w:t xml:space="preserve">  Vestiaires (1 équipement)</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Chauffe-eau électrique</w:t>
            </w:r>
          </w:p>
        </w:tc>
        <w:tc>
          <w:tcPr>
            <w:tcW w:type="dxa" w:w="1587"/>
            <w:shd w:val="clear" w:color="auto" w:fill="FFFFFF"/>
          </w:tcPr>
          <w:p>
            <w:pPr>
              <w:jc w:val="center"/>
            </w:pPr>
            <w:r>
              <w:rPr>
                <w:sz w:val="14"/>
              </w:rPr>
              <w:t>Atlantic Vizengo 300L</w:t>
            </w:r>
          </w:p>
        </w:tc>
        <w:tc>
          <w:tcPr>
            <w:tcW w:type="dxa" w:w="737"/>
            <w:shd w:val="clear" w:color="auto" w:fill="FFFFFF"/>
          </w:tcPr>
          <w:p>
            <w:pPr>
              <w:jc w:val="center"/>
            </w:pPr>
            <w:r>
              <w:rPr>
                <w:sz w:val="14"/>
              </w:rPr>
              <w:t>3,0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4 500</w:t>
            </w:r>
          </w:p>
        </w:tc>
        <w:tc>
          <w:tcPr>
            <w:tcW w:type="dxa" w:w="1134"/>
            <w:shd w:val="clear" w:color="auto" w:fill="FFFFFF"/>
          </w:tcPr>
          <w:p>
            <w:pPr>
              <w:jc w:val="center"/>
            </w:pPr>
            <w:r>
              <w:rPr>
                <w:sz w:val="14"/>
              </w:rPr>
              <w:t>13 500</w:t>
            </w:r>
          </w:p>
        </w:tc>
        <w:tc>
          <w:tcPr>
            <w:tcW w:type="dxa" w:w="680"/>
            <w:shd w:val="clear" w:color="auto" w:fill="FFFFFF"/>
          </w:tcPr>
          <w:p>
            <w:pPr>
              <w:jc w:val="center"/>
            </w:pPr>
            <w:r>
              <w:rPr>
                <w:sz w:val="14"/>
              </w:rPr>
              <w:t>2016</w:t>
            </w:r>
          </w:p>
        </w:tc>
        <w:tc>
          <w:tcPr>
            <w:tcW w:type="dxa" w:w="454"/>
            <w:shd w:val="clear" w:color="auto" w:fill="FFFFFF"/>
          </w:tcPr>
          <w:p>
            <w:pPr>
              <w:jc w:val="center"/>
            </w:pPr>
            <w:r>
              <w:rPr>
                <w:sz w:val="14"/>
              </w:rPr>
              <w:t>1</w:t>
            </w:r>
          </w:p>
        </w:tc>
      </w:tr>
    </w:tbl>
    <w:p>
      <w:r>
        <w:rPr>
          <w:i/>
          <w:color w:val="555555"/>
          <w:sz w:val="18"/>
        </w:rPr>
        <w:t>Puissance installée zone : 3,0 kW — Consommation estimée : 13 500 kWh/an</w:t>
      </w:r>
    </w:p>
    <w:p/>
    <w:p>
      <w:pPr>
        <w:shd w:val="clear" w:color="auto" w:fill="D6E4F0"/>
      </w:pPr>
      <w:r>
        <w:rPr>
          <w:b/>
          <w:color w:val="1F4E79"/>
          <w:sz w:val="22"/>
        </w:rPr>
        <w:t xml:space="preserve">  Zone de coulée (5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Convoyeur vibrant</w:t>
            </w:r>
          </w:p>
        </w:tc>
        <w:tc>
          <w:tcPr>
            <w:tcW w:type="dxa" w:w="1587"/>
            <w:shd w:val="clear" w:color="auto" w:fill="FFFFFF"/>
          </w:tcPr>
          <w:p>
            <w:pPr>
              <w:jc w:val="center"/>
            </w:pPr>
            <w:r>
              <w:rPr>
                <w:sz w:val="14"/>
              </w:rPr>
              <w:t>Schenck Process CONEX</w:t>
            </w:r>
          </w:p>
        </w:tc>
        <w:tc>
          <w:tcPr>
            <w:tcW w:type="dxa" w:w="737"/>
            <w:shd w:val="clear" w:color="auto" w:fill="FFFFFF"/>
          </w:tcPr>
          <w:p>
            <w:pPr>
              <w:jc w:val="center"/>
            </w:pPr>
            <w:r>
              <w:rPr>
                <w:sz w:val="14"/>
              </w:rPr>
              <w:t>7,5</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5 500</w:t>
            </w:r>
          </w:p>
        </w:tc>
        <w:tc>
          <w:tcPr>
            <w:tcW w:type="dxa" w:w="1134"/>
            <w:shd w:val="clear" w:color="auto" w:fill="FFFFFF"/>
          </w:tcPr>
          <w:p>
            <w:pPr>
              <w:jc w:val="center"/>
            </w:pPr>
            <w:r>
              <w:rPr>
                <w:sz w:val="14"/>
              </w:rPr>
              <w:t>41 250</w:t>
            </w:r>
          </w:p>
        </w:tc>
        <w:tc>
          <w:tcPr>
            <w:tcW w:type="dxa" w:w="680"/>
            <w:shd w:val="clear" w:color="auto" w:fill="FFFFFF"/>
          </w:tcPr>
          <w:p>
            <w:pPr>
              <w:jc w:val="center"/>
            </w:pPr>
            <w:r>
              <w:rPr>
                <w:sz w:val="14"/>
              </w:rPr>
              <w:t>2018</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Éclairage industriel</w:t>
            </w:r>
          </w:p>
        </w:tc>
        <w:tc>
          <w:tcPr>
            <w:tcW w:type="dxa" w:w="1587"/>
            <w:shd w:val="clear" w:color="auto" w:fill="EBF3FA"/>
          </w:tcPr>
          <w:p>
            <w:pPr>
              <w:jc w:val="center"/>
            </w:pPr>
            <w:r>
              <w:rPr>
                <w:sz w:val="14"/>
              </w:rPr>
              <w:t>Osram HQL 400W</w:t>
            </w:r>
          </w:p>
        </w:tc>
        <w:tc>
          <w:tcPr>
            <w:tcW w:type="dxa" w:w="737"/>
            <w:shd w:val="clear" w:color="auto" w:fill="EBF3FA"/>
          </w:tcPr>
          <w:p>
            <w:pPr>
              <w:jc w:val="center"/>
            </w:pPr>
            <w:r>
              <w:rPr>
                <w:sz w:val="14"/>
              </w:rPr>
              <w:t>7,2</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6 000</w:t>
            </w:r>
          </w:p>
        </w:tc>
        <w:tc>
          <w:tcPr>
            <w:tcW w:type="dxa" w:w="1134"/>
            <w:shd w:val="clear" w:color="auto" w:fill="EBF3FA"/>
          </w:tcPr>
          <w:p>
            <w:pPr>
              <w:jc w:val="center"/>
            </w:pPr>
            <w:r>
              <w:rPr>
                <w:sz w:val="14"/>
              </w:rPr>
              <w:t>43 200</w:t>
            </w:r>
          </w:p>
        </w:tc>
        <w:tc>
          <w:tcPr>
            <w:tcW w:type="dxa" w:w="680"/>
            <w:shd w:val="clear" w:color="auto" w:fill="EBF3FA"/>
          </w:tcPr>
          <w:p>
            <w:pPr>
              <w:jc w:val="center"/>
            </w:pPr>
            <w:r>
              <w:rPr>
                <w:sz w:val="14"/>
              </w:rPr>
              <w:t>2003</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Four de maintien gaz</w:t>
            </w:r>
          </w:p>
        </w:tc>
        <w:tc>
          <w:tcPr>
            <w:tcW w:type="dxa" w:w="1587"/>
            <w:shd w:val="clear" w:color="auto" w:fill="FFFFFF"/>
          </w:tcPr>
          <w:p>
            <w:pPr>
              <w:jc w:val="center"/>
            </w:pPr>
            <w:r>
              <w:rPr>
                <w:sz w:val="14"/>
              </w:rPr>
              <w:t>StrikoWestofen WN R/E 1500</w:t>
            </w:r>
          </w:p>
        </w:tc>
        <w:tc>
          <w:tcPr>
            <w:tcW w:type="dxa" w:w="737"/>
            <w:shd w:val="clear" w:color="auto" w:fill="FFFFFF"/>
          </w:tcPr>
          <w:p>
            <w:pPr>
              <w:jc w:val="center"/>
            </w:pPr>
            <w:r>
              <w:rPr>
                <w:sz w:val="14"/>
              </w:rPr>
              <w:t>180,0</w:t>
            </w:r>
          </w:p>
        </w:tc>
        <w:tc>
          <w:tcPr>
            <w:tcW w:type="dxa" w:w="737"/>
            <w:shd w:val="clear" w:color="auto" w:fill="FFFFFF"/>
          </w:tcPr>
          <w:p>
            <w:pPr>
              <w:jc w:val="center"/>
            </w:pPr>
            <w:r>
              <w:rPr>
                <w:sz w:val="14"/>
              </w:rPr>
              <w:t>72%</w:t>
            </w:r>
          </w:p>
        </w:tc>
        <w:tc>
          <w:tcPr>
            <w:tcW w:type="dxa" w:w="850"/>
            <w:shd w:val="clear" w:color="auto" w:fill="FFFFFF"/>
          </w:tcPr>
          <w:p>
            <w:pPr>
              <w:jc w:val="center"/>
            </w:pPr>
            <w:r>
              <w:rPr>
                <w:sz w:val="14"/>
              </w:rPr>
              <w:t>5 500</w:t>
            </w:r>
          </w:p>
        </w:tc>
        <w:tc>
          <w:tcPr>
            <w:tcW w:type="dxa" w:w="1134"/>
            <w:shd w:val="clear" w:color="auto" w:fill="FFFFFF"/>
          </w:tcPr>
          <w:p>
            <w:pPr>
              <w:jc w:val="center"/>
            </w:pPr>
            <w:r>
              <w:rPr>
                <w:sz w:val="14"/>
              </w:rPr>
              <w:t>1 100 000</w:t>
            </w:r>
          </w:p>
        </w:tc>
        <w:tc>
          <w:tcPr>
            <w:tcW w:type="dxa" w:w="680"/>
            <w:shd w:val="clear" w:color="auto" w:fill="FFFFFF"/>
          </w:tcPr>
          <w:p>
            <w:pPr>
              <w:jc w:val="center"/>
            </w:pPr>
            <w:r>
              <w:rPr>
                <w:sz w:val="14"/>
              </w:rPr>
              <w:t>2015</w:t>
            </w:r>
          </w:p>
        </w:tc>
        <w:tc>
          <w:tcPr>
            <w:tcW w:type="dxa" w:w="454"/>
            <w:shd w:val="clear" w:color="auto" w:fill="FFFFFF"/>
          </w:tcPr>
          <w:p>
            <w:pPr>
              <w:jc w:val="center"/>
            </w:pPr>
            <w:r>
              <w:rPr>
                <w:sz w:val="14"/>
              </w:rPr>
              <w:t>1</w:t>
            </w:r>
          </w:p>
        </w:tc>
      </w:tr>
      <w:tr>
        <w:tc>
          <w:tcPr>
            <w:tcW w:type="dxa" w:w="340"/>
            <w:shd w:val="clear" w:color="auto" w:fill="EBF3FA"/>
          </w:tcPr>
          <w:p>
            <w:pPr>
              <w:jc w:val="center"/>
            </w:pPr>
            <w:r>
              <w:rPr>
                <w:sz w:val="14"/>
              </w:rPr>
              <w:t>4</w:t>
            </w:r>
          </w:p>
        </w:tc>
        <w:tc>
          <w:tcPr>
            <w:tcW w:type="dxa" w:w="1587"/>
            <w:shd w:val="clear" w:color="auto" w:fill="EBF3FA"/>
          </w:tcPr>
          <w:p>
            <w:pPr>
              <w:jc w:val="center"/>
            </w:pPr>
            <w:r>
              <w:rPr>
                <w:sz w:val="14"/>
              </w:rPr>
              <w:t>Pont roulant</w:t>
            </w:r>
          </w:p>
        </w:tc>
        <w:tc>
          <w:tcPr>
            <w:tcW w:type="dxa" w:w="1587"/>
            <w:shd w:val="clear" w:color="auto" w:fill="EBF3FA"/>
          </w:tcPr>
          <w:p>
            <w:pPr>
              <w:jc w:val="center"/>
            </w:pPr>
            <w:r>
              <w:rPr>
                <w:sz w:val="14"/>
              </w:rPr>
              <w:t>Konecranes CXT 5T</w:t>
            </w:r>
          </w:p>
        </w:tc>
        <w:tc>
          <w:tcPr>
            <w:tcW w:type="dxa" w:w="737"/>
            <w:shd w:val="clear" w:color="auto" w:fill="EBF3FA"/>
          </w:tcPr>
          <w:p>
            <w:pPr>
              <w:jc w:val="center"/>
            </w:pPr>
            <w:r>
              <w:rPr>
                <w:sz w:val="14"/>
              </w:rPr>
              <w:t>11,0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4 500</w:t>
            </w:r>
          </w:p>
        </w:tc>
        <w:tc>
          <w:tcPr>
            <w:tcW w:type="dxa" w:w="1134"/>
            <w:shd w:val="clear" w:color="auto" w:fill="EBF3FA"/>
          </w:tcPr>
          <w:p>
            <w:pPr>
              <w:jc w:val="center"/>
            </w:pPr>
            <w:r>
              <w:rPr>
                <w:sz w:val="14"/>
              </w:rPr>
              <w:t>49 500</w:t>
            </w:r>
          </w:p>
        </w:tc>
        <w:tc>
          <w:tcPr>
            <w:tcW w:type="dxa" w:w="680"/>
            <w:shd w:val="clear" w:color="auto" w:fill="EBF3FA"/>
          </w:tcPr>
          <w:p>
            <w:pPr>
              <w:jc w:val="center"/>
            </w:pPr>
            <w:r>
              <w:rPr>
                <w:sz w:val="14"/>
              </w:rPr>
              <w:t>2010</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5</w:t>
            </w:r>
          </w:p>
        </w:tc>
        <w:tc>
          <w:tcPr>
            <w:tcW w:type="dxa" w:w="1587"/>
            <w:shd w:val="clear" w:color="auto" w:fill="FFFFFF"/>
          </w:tcPr>
          <w:p>
            <w:pPr>
              <w:jc w:val="center"/>
            </w:pPr>
            <w:r>
              <w:rPr>
                <w:sz w:val="14"/>
              </w:rPr>
              <w:t>Préchauffeur poches gaz</w:t>
            </w:r>
          </w:p>
        </w:tc>
        <w:tc>
          <w:tcPr>
            <w:tcW w:type="dxa" w:w="1587"/>
            <w:shd w:val="clear" w:color="auto" w:fill="FFFFFF"/>
          </w:tcPr>
          <w:p>
            <w:pPr>
              <w:jc w:val="center"/>
            </w:pPr>
            <w:r>
              <w:rPr>
                <w:sz w:val="14"/>
              </w:rPr>
              <w:t>Insertec LHS-300</w:t>
            </w:r>
          </w:p>
        </w:tc>
        <w:tc>
          <w:tcPr>
            <w:tcW w:type="dxa" w:w="737"/>
            <w:shd w:val="clear" w:color="auto" w:fill="FFFFFF"/>
          </w:tcPr>
          <w:p>
            <w:pPr>
              <w:jc w:val="center"/>
            </w:pPr>
            <w:r>
              <w:rPr>
                <w:sz w:val="14"/>
              </w:rPr>
              <w:t>80,0</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3 500</w:t>
            </w:r>
          </w:p>
        </w:tc>
        <w:tc>
          <w:tcPr>
            <w:tcW w:type="dxa" w:w="1134"/>
            <w:shd w:val="clear" w:color="auto" w:fill="FFFFFF"/>
          </w:tcPr>
          <w:p>
            <w:pPr>
              <w:jc w:val="center"/>
            </w:pPr>
            <w:r>
              <w:rPr>
                <w:sz w:val="14"/>
              </w:rPr>
              <w:t>350 000</w:t>
            </w:r>
          </w:p>
        </w:tc>
        <w:tc>
          <w:tcPr>
            <w:tcW w:type="dxa" w:w="680"/>
            <w:shd w:val="clear" w:color="auto" w:fill="FFFFFF"/>
          </w:tcPr>
          <w:p>
            <w:pPr>
              <w:jc w:val="center"/>
            </w:pPr>
            <w:r>
              <w:rPr>
                <w:sz w:val="14"/>
              </w:rPr>
              <w:t>2011</w:t>
            </w:r>
          </w:p>
        </w:tc>
        <w:tc>
          <w:tcPr>
            <w:tcW w:type="dxa" w:w="454"/>
            <w:shd w:val="clear" w:color="auto" w:fill="FFFFFF"/>
          </w:tcPr>
          <w:p>
            <w:pPr>
              <w:jc w:val="center"/>
            </w:pPr>
            <w:r>
              <w:rPr>
                <w:sz w:val="14"/>
              </w:rPr>
              <w:t>1</w:t>
            </w:r>
          </w:p>
        </w:tc>
      </w:tr>
    </w:tbl>
    <w:p>
      <w:r>
        <w:rPr>
          <w:i/>
          <w:color w:val="555555"/>
          <w:sz w:val="18"/>
        </w:rPr>
        <w:t>Puissance installée zone : 285,7 kW — Consommation estimée : 1 583 950 kWh/an</w:t>
      </w:r>
    </w:p>
    <w:p/>
    <w:p>
      <w:pPr>
        <w:shd w:val="clear" w:color="auto" w:fill="D6E4F0"/>
      </w:pPr>
      <w:r>
        <w:rPr>
          <w:b/>
          <w:color w:val="1F4E79"/>
          <w:sz w:val="22"/>
        </w:rPr>
        <w:t xml:space="preserve">  Non affecté (3 équipements)</w:t>
      </w:r>
    </w:p>
    <w:tbl>
      <w:tblPr>
        <w:tblStyle w:val="TableGrid"/>
        <w:tblW w:type="auto" w:w="0"/>
        <w:tblLook w:firstColumn="1" w:firstRow="1" w:lastColumn="0" w:lastRow="0" w:noHBand="0" w:noVBand="1" w:val="04A0"/>
        <w:tblW w:w="8108" w:type="dxa"/>
        <w:tblLayout w:type="fixed"/>
      </w:tblPr>
      <w:tblGrid>
        <w:gridCol w:w="1077"/>
        <w:gridCol w:w="1077"/>
        <w:gridCol w:w="1077"/>
        <w:gridCol w:w="1077"/>
        <w:gridCol w:w="1077"/>
        <w:gridCol w:w="1077"/>
        <w:gridCol w:w="1077"/>
        <w:gridCol w:w="1077"/>
        <w:gridCol w:w="1077"/>
      </w:tblGrid>
      <w:tr>
        <w:tc>
          <w:tcPr>
            <w:tcW w:type="dxa" w:w="340"/>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Type</w:t>
            </w:r>
          </w:p>
        </w:tc>
        <w:tc>
          <w:tcPr>
            <w:tcW w:type="dxa" w:w="1587"/>
            <w:shd w:val="clear" w:color="auto" w:fill="1F4E79"/>
          </w:tcPr>
          <w:p>
            <w:pPr>
              <w:jc w:val="center"/>
            </w:pPr>
            <w:r>
              <w:rPr>
                <w:b/>
                <w:color w:val="FFFFFF"/>
                <w:sz w:val="14"/>
              </w:rPr>
              <w:t>Marque / Modèle</w:t>
            </w:r>
          </w:p>
        </w:tc>
        <w:tc>
          <w:tcPr>
            <w:tcW w:type="dxa" w:w="737"/>
            <w:shd w:val="clear" w:color="auto" w:fill="1F4E79"/>
          </w:tcPr>
          <w:p>
            <w:pPr>
              <w:jc w:val="center"/>
            </w:pPr>
            <w:r>
              <w:rPr>
                <w:b/>
                <w:color w:val="FFFFFF"/>
                <w:sz w:val="14"/>
              </w:rPr>
              <w:t>P (kW)</w:t>
            </w:r>
          </w:p>
        </w:tc>
        <w:tc>
          <w:tcPr>
            <w:tcW w:type="dxa" w:w="737"/>
            <w:shd w:val="clear" w:color="auto" w:fill="1F4E79"/>
          </w:tcPr>
          <w:p>
            <w:pPr>
              <w:jc w:val="center"/>
            </w:pPr>
            <w:r>
              <w:rPr>
                <w:b/>
                <w:color w:val="FFFFFF"/>
                <w:sz w:val="14"/>
              </w:rPr>
              <w:t>Rendement</w:t>
            </w:r>
          </w:p>
        </w:tc>
        <w:tc>
          <w:tcPr>
            <w:tcW w:type="dxa" w:w="850"/>
            <w:shd w:val="clear" w:color="auto" w:fill="1F4E79"/>
          </w:tcPr>
          <w:p>
            <w:pPr>
              <w:jc w:val="center"/>
            </w:pPr>
            <w:r>
              <w:rPr>
                <w:b/>
                <w:color w:val="FFFFFF"/>
                <w:sz w:val="14"/>
              </w:rPr>
              <w:t>Heures/an</w:t>
            </w:r>
          </w:p>
        </w:tc>
        <w:tc>
          <w:tcPr>
            <w:tcW w:type="dxa" w:w="1134"/>
            <w:shd w:val="clear" w:color="auto" w:fill="1F4E79"/>
          </w:tcPr>
          <w:p>
            <w:pPr>
              <w:jc w:val="center"/>
            </w:pPr>
            <w:r>
              <w:rPr>
                <w:b/>
                <w:color w:val="FFFFFF"/>
                <w:sz w:val="14"/>
              </w:rPr>
              <w:t>kWh/an estimé</w:t>
            </w:r>
          </w:p>
        </w:tc>
        <w:tc>
          <w:tcPr>
            <w:tcW w:type="dxa" w:w="680"/>
            <w:shd w:val="clear" w:color="auto" w:fill="1F4E79"/>
          </w:tcPr>
          <w:p>
            <w:pPr>
              <w:jc w:val="center"/>
            </w:pPr>
            <w:r>
              <w:rPr>
                <w:b/>
                <w:color w:val="FFFFFF"/>
                <w:sz w:val="14"/>
              </w:rPr>
              <w:t>Année</w:t>
            </w:r>
          </w:p>
        </w:tc>
        <w:tc>
          <w:tcPr>
            <w:tcW w:type="dxa" w:w="454"/>
            <w:shd w:val="clear" w:color="auto" w:fill="1F4E79"/>
          </w:tcPr>
          <w:p>
            <w:pPr>
              <w:jc w:val="center"/>
            </w:pPr>
            <w:r>
              <w:rPr>
                <w:b/>
                <w:color w:val="FFFFFF"/>
                <w:sz w:val="14"/>
              </w:rPr>
              <w:t>Qté</w:t>
            </w:r>
          </w:p>
        </w:tc>
      </w:tr>
      <w:tr>
        <w:tc>
          <w:tcPr>
            <w:tcW w:type="dxa" w:w="340"/>
            <w:shd w:val="clear" w:color="auto" w:fill="FFFFFF"/>
          </w:tcPr>
          <w:p>
            <w:pPr>
              <w:jc w:val="center"/>
            </w:pPr>
            <w:r>
              <w:rPr>
                <w:sz w:val="14"/>
              </w:rPr>
              <w:t>1</w:t>
            </w:r>
          </w:p>
        </w:tc>
        <w:tc>
          <w:tcPr>
            <w:tcW w:type="dxa" w:w="1587"/>
            <w:shd w:val="clear" w:color="auto" w:fill="FFFFFF"/>
          </w:tcPr>
          <w:p>
            <w:pPr>
              <w:jc w:val="center"/>
            </w:pPr>
            <w:r>
              <w:rPr>
                <w:sz w:val="14"/>
              </w:rPr>
              <w:t>luminaire</w:t>
            </w:r>
          </w:p>
        </w:tc>
        <w:tc>
          <w:tcPr>
            <w:tcW w:type="dxa" w:w="1587"/>
            <w:shd w:val="clear" w:color="auto" w:fill="FFFFFF"/>
          </w:tcPr>
          <w:p>
            <w:pPr>
              <w:jc w:val="center"/>
            </w:pPr>
            <w:r>
              <w:rPr>
                <w:sz w:val="14"/>
              </w:rPr>
              <w:t>—</w:t>
            </w:r>
          </w:p>
        </w:tc>
        <w:tc>
          <w:tcPr>
            <w:tcW w:type="dxa" w:w="737"/>
            <w:shd w:val="clear" w:color="auto" w:fill="FFFFFF"/>
          </w:tcPr>
          <w:p>
            <w:pPr>
              <w:jc w:val="center"/>
            </w:pPr>
            <w:r>
              <w:rPr>
                <w:sz w:val="14"/>
              </w:rPr>
              <w:t>—</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w:t>
            </w:r>
          </w:p>
        </w:tc>
        <w:tc>
          <w:tcPr>
            <w:tcW w:type="dxa" w:w="1134"/>
            <w:shd w:val="clear" w:color="auto" w:fill="FFFFFF"/>
          </w:tcPr>
          <w:p>
            <w:pPr>
              <w:jc w:val="center"/>
            </w:pPr>
            <w:r>
              <w:rPr>
                <w:sz w:val="14"/>
              </w:rPr>
              <w:t>—</w:t>
            </w:r>
          </w:p>
        </w:tc>
        <w:tc>
          <w:tcPr>
            <w:tcW w:type="dxa" w:w="680"/>
            <w:shd w:val="clear" w:color="auto" w:fill="FFFFFF"/>
          </w:tcPr>
          <w:p>
            <w:pPr>
              <w:jc w:val="center"/>
            </w:pPr>
            <w:r>
              <w:rPr>
                <w:sz w:val="14"/>
              </w:rPr>
              <w:t>—</w:t>
            </w:r>
          </w:p>
        </w:tc>
        <w:tc>
          <w:tcPr>
            <w:tcW w:type="dxa" w:w="454"/>
            <w:shd w:val="clear" w:color="auto" w:fill="FFFFFF"/>
          </w:tcPr>
          <w:p>
            <w:pPr>
              <w:jc w:val="center"/>
            </w:pPr>
            <w:r>
              <w:rPr>
                <w:sz w:val="14"/>
              </w:rPr>
              <w:t>10</w:t>
            </w:r>
          </w:p>
        </w:tc>
      </w:tr>
      <w:tr>
        <w:tc>
          <w:tcPr>
            <w:tcW w:type="dxa" w:w="340"/>
            <w:shd w:val="clear" w:color="auto" w:fill="EBF3FA"/>
          </w:tcPr>
          <w:p>
            <w:pPr>
              <w:jc w:val="center"/>
            </w:pPr>
            <w:r>
              <w:rPr>
                <w:sz w:val="14"/>
              </w:rPr>
              <w:t>2</w:t>
            </w:r>
          </w:p>
        </w:tc>
        <w:tc>
          <w:tcPr>
            <w:tcW w:type="dxa" w:w="1587"/>
            <w:shd w:val="clear" w:color="auto" w:fill="EBF3FA"/>
          </w:tcPr>
          <w:p>
            <w:pPr>
              <w:jc w:val="center"/>
            </w:pPr>
            <w:r>
              <w:rPr>
                <w:sz w:val="14"/>
              </w:rPr>
              <w:t>luminaire</w:t>
            </w:r>
          </w:p>
        </w:tc>
        <w:tc>
          <w:tcPr>
            <w:tcW w:type="dxa" w:w="1587"/>
            <w:shd w:val="clear" w:color="auto" w:fill="EBF3FA"/>
          </w:tcPr>
          <w:p>
            <w:pPr>
              <w:jc w:val="center"/>
            </w:pPr>
            <w:r>
              <w:rPr>
                <w:sz w:val="14"/>
              </w:rPr>
              <w:t>tube LED</w:t>
            </w:r>
          </w:p>
        </w:tc>
        <w:tc>
          <w:tcPr>
            <w:tcW w:type="dxa" w:w="737"/>
            <w:shd w:val="clear" w:color="auto" w:fill="EBF3FA"/>
          </w:tcPr>
          <w:p>
            <w:pPr>
              <w:jc w:val="center"/>
            </w:pPr>
            <w:r>
              <w:rPr>
                <w:sz w:val="14"/>
              </w:rPr>
              <w:t>0,0</w:t>
            </w:r>
          </w:p>
        </w:tc>
        <w:tc>
          <w:tcPr>
            <w:tcW w:type="dxa" w:w="737"/>
            <w:shd w:val="clear" w:color="auto" w:fill="EBF3FA"/>
          </w:tcPr>
          <w:p>
            <w:pPr>
              <w:jc w:val="center"/>
            </w:pPr>
            <w:r>
              <w:rPr>
                <w:sz w:val="14"/>
              </w:rPr>
              <w:t>—</w:t>
            </w:r>
          </w:p>
        </w:tc>
        <w:tc>
          <w:tcPr>
            <w:tcW w:type="dxa" w:w="850"/>
            <w:shd w:val="clear" w:color="auto" w:fill="EBF3FA"/>
          </w:tcPr>
          <w:p>
            <w:pPr>
              <w:jc w:val="center"/>
            </w:pPr>
            <w:r>
              <w:rPr>
                <w:sz w:val="14"/>
              </w:rPr>
              <w:t>—</w:t>
            </w:r>
          </w:p>
        </w:tc>
        <w:tc>
          <w:tcPr>
            <w:tcW w:type="dxa" w:w="1134"/>
            <w:shd w:val="clear" w:color="auto" w:fill="EBF3FA"/>
          </w:tcPr>
          <w:p>
            <w:pPr>
              <w:jc w:val="center"/>
            </w:pPr>
            <w:r>
              <w:rPr>
                <w:sz w:val="14"/>
              </w:rPr>
              <w:t>—</w:t>
            </w:r>
          </w:p>
        </w:tc>
        <w:tc>
          <w:tcPr>
            <w:tcW w:type="dxa" w:w="680"/>
            <w:shd w:val="clear" w:color="auto" w:fill="EBF3FA"/>
          </w:tcPr>
          <w:p>
            <w:pPr>
              <w:jc w:val="center"/>
            </w:pPr>
            <w:r>
              <w:rPr>
                <w:sz w:val="14"/>
              </w:rPr>
              <w:t>—</w:t>
            </w:r>
          </w:p>
        </w:tc>
        <w:tc>
          <w:tcPr>
            <w:tcW w:type="dxa" w:w="454"/>
            <w:shd w:val="clear" w:color="auto" w:fill="EBF3FA"/>
          </w:tcPr>
          <w:p>
            <w:pPr>
              <w:jc w:val="center"/>
            </w:pPr>
            <w:r>
              <w:rPr>
                <w:sz w:val="14"/>
              </w:rPr>
              <w:t>1</w:t>
            </w:r>
          </w:p>
        </w:tc>
      </w:tr>
      <w:tr>
        <w:tc>
          <w:tcPr>
            <w:tcW w:type="dxa" w:w="340"/>
            <w:shd w:val="clear" w:color="auto" w:fill="FFFFFF"/>
          </w:tcPr>
          <w:p>
            <w:pPr>
              <w:jc w:val="center"/>
            </w:pPr>
            <w:r>
              <w:rPr>
                <w:sz w:val="14"/>
              </w:rPr>
              <w:t>3</w:t>
            </w:r>
          </w:p>
        </w:tc>
        <w:tc>
          <w:tcPr>
            <w:tcW w:type="dxa" w:w="1587"/>
            <w:shd w:val="clear" w:color="auto" w:fill="FFFFFF"/>
          </w:tcPr>
          <w:p>
            <w:pPr>
              <w:jc w:val="center"/>
            </w:pPr>
            <w:r>
              <w:rPr>
                <w:sz w:val="14"/>
              </w:rPr>
              <w:t>pompe à chaleur</w:t>
            </w:r>
          </w:p>
        </w:tc>
        <w:tc>
          <w:tcPr>
            <w:tcW w:type="dxa" w:w="1587"/>
            <w:shd w:val="clear" w:color="auto" w:fill="FFFFFF"/>
          </w:tcPr>
          <w:p>
            <w:pPr>
              <w:jc w:val="center"/>
            </w:pPr>
            <w:r>
              <w:rPr>
                <w:sz w:val="14"/>
              </w:rPr>
              <w:t>—</w:t>
            </w:r>
          </w:p>
        </w:tc>
        <w:tc>
          <w:tcPr>
            <w:tcW w:type="dxa" w:w="737"/>
            <w:shd w:val="clear" w:color="auto" w:fill="FFFFFF"/>
          </w:tcPr>
          <w:p>
            <w:pPr>
              <w:jc w:val="center"/>
            </w:pPr>
            <w:r>
              <w:rPr>
                <w:sz w:val="14"/>
              </w:rPr>
              <w:t>—</w:t>
            </w:r>
          </w:p>
        </w:tc>
        <w:tc>
          <w:tcPr>
            <w:tcW w:type="dxa" w:w="737"/>
            <w:shd w:val="clear" w:color="auto" w:fill="FFFFFF"/>
          </w:tcPr>
          <w:p>
            <w:pPr>
              <w:jc w:val="center"/>
            </w:pPr>
            <w:r>
              <w:rPr>
                <w:sz w:val="14"/>
              </w:rPr>
              <w:t>—</w:t>
            </w:r>
          </w:p>
        </w:tc>
        <w:tc>
          <w:tcPr>
            <w:tcW w:type="dxa" w:w="850"/>
            <w:shd w:val="clear" w:color="auto" w:fill="FFFFFF"/>
          </w:tcPr>
          <w:p>
            <w:pPr>
              <w:jc w:val="center"/>
            </w:pPr>
            <w:r>
              <w:rPr>
                <w:sz w:val="14"/>
              </w:rPr>
              <w:t>—</w:t>
            </w:r>
          </w:p>
        </w:tc>
        <w:tc>
          <w:tcPr>
            <w:tcW w:type="dxa" w:w="1134"/>
            <w:shd w:val="clear" w:color="auto" w:fill="FFFFFF"/>
          </w:tcPr>
          <w:p>
            <w:pPr>
              <w:jc w:val="center"/>
            </w:pPr>
            <w:r>
              <w:rPr>
                <w:sz w:val="14"/>
              </w:rPr>
              <w:t>—</w:t>
            </w:r>
          </w:p>
        </w:tc>
        <w:tc>
          <w:tcPr>
            <w:tcW w:type="dxa" w:w="680"/>
            <w:shd w:val="clear" w:color="auto" w:fill="FFFFFF"/>
          </w:tcPr>
          <w:p>
            <w:pPr>
              <w:jc w:val="center"/>
            </w:pPr>
            <w:r>
              <w:rPr>
                <w:sz w:val="14"/>
              </w:rPr>
              <w:t>—</w:t>
            </w:r>
          </w:p>
        </w:tc>
        <w:tc>
          <w:tcPr>
            <w:tcW w:type="dxa" w:w="454"/>
            <w:shd w:val="clear" w:color="auto" w:fill="FFFFFF"/>
          </w:tcPr>
          <w:p>
            <w:pPr>
              <w:jc w:val="center"/>
            </w:pPr>
            <w:r>
              <w:rPr>
                <w:sz w:val="14"/>
              </w:rPr>
              <w:t>1</w:t>
            </w:r>
          </w:p>
        </w:tc>
      </w:tr>
    </w:tbl>
    <w:p>
      <w:r>
        <w:rPr>
          <w:i/>
          <w:color w:val="555555"/>
          <w:sz w:val="18"/>
        </w:rPr>
        <w:t>Puissance installée zone : 0,0 kW — Consommation estimée : 0 kWh/an</w:t>
      </w:r>
    </w:p>
    <w:p/>
    <w:p>
      <w:r>
        <w:rPr>
          <w:b/>
          <w:color w:val="1F4E79"/>
          <w:sz w:val="22"/>
        </w:rPr>
        <w:t>Synthèse par zone</w:t>
      </w:r>
    </w:p>
    <w:tbl>
      <w:tblPr>
        <w:tblStyle w:val="TableGrid"/>
        <w:tblW w:type="auto" w:w="0"/>
        <w:tblLook w:firstColumn="1" w:firstRow="1" w:lastColumn="0" w:lastRow="0" w:noHBand="0" w:noVBand="1" w:val="04A0"/>
      </w:tblPr>
      <w:tblGrid>
        <w:gridCol w:w="1938"/>
        <w:gridCol w:w="1938"/>
        <w:gridCol w:w="1938"/>
        <w:gridCol w:w="1938"/>
        <w:gridCol w:w="1938"/>
      </w:tblGrid>
      <w:tr>
        <w:tc>
          <w:tcPr>
            <w:tcW w:type="dxa" w:w="1938"/>
            <w:shd w:val="clear" w:color="auto" w:fill="1F4E79"/>
          </w:tcPr>
          <w:p>
            <w:pPr>
              <w:jc w:val="center"/>
            </w:pPr>
            <w:r>
              <w:rPr>
                <w:b/>
                <w:color w:val="FFFFFF"/>
              </w:rPr>
              <w:t>Zone</w:t>
            </w:r>
          </w:p>
        </w:tc>
        <w:tc>
          <w:tcPr>
            <w:tcW w:type="dxa" w:w="1938"/>
            <w:shd w:val="clear" w:color="auto" w:fill="1F4E79"/>
          </w:tcPr>
          <w:p>
            <w:pPr>
              <w:jc w:val="center"/>
            </w:pPr>
            <w:r>
              <w:rPr>
                <w:b/>
                <w:color w:val="FFFFFF"/>
              </w:rPr>
              <w:t>Nb équip.</w:t>
            </w:r>
          </w:p>
        </w:tc>
        <w:tc>
          <w:tcPr>
            <w:tcW w:type="dxa" w:w="1938"/>
            <w:shd w:val="clear" w:color="auto" w:fill="1F4E79"/>
          </w:tcPr>
          <w:p>
            <w:pPr>
              <w:jc w:val="center"/>
            </w:pPr>
            <w:r>
              <w:rPr>
                <w:b/>
                <w:color w:val="FFFFFF"/>
              </w:rPr>
              <w:t>P installée (kW)</w:t>
            </w:r>
          </w:p>
        </w:tc>
        <w:tc>
          <w:tcPr>
            <w:tcW w:type="dxa" w:w="1938"/>
            <w:shd w:val="clear" w:color="auto" w:fill="1F4E79"/>
          </w:tcPr>
          <w:p>
            <w:pPr>
              <w:jc w:val="center"/>
            </w:pPr>
            <w:r>
              <w:rPr>
                <w:b/>
                <w:color w:val="FFFFFF"/>
              </w:rPr>
              <w:t>Conso estimée (kWh/an)</w:t>
            </w:r>
          </w:p>
        </w:tc>
        <w:tc>
          <w:tcPr>
            <w:tcW w:type="dxa" w:w="1938"/>
            <w:shd w:val="clear" w:color="auto" w:fill="1F4E79"/>
          </w:tcPr>
          <w:p>
            <w:pPr>
              <w:jc w:val="center"/>
            </w:pPr>
            <w:r>
              <w:rPr>
                <w:b/>
                <w:color w:val="FFFFFF"/>
              </w:rPr>
              <w:t>% du total</w:t>
            </w:r>
          </w:p>
        </w:tc>
      </w:tr>
      <w:tr>
        <w:tc>
          <w:tcPr>
            <w:tcW w:type="dxa" w:w="1938"/>
            <w:shd w:val="clear" w:color="auto" w:fill="FFFFFF"/>
          </w:tcPr>
          <w:p>
            <w:r>
              <w:t>Atelier finition</w:t>
            </w:r>
          </w:p>
        </w:tc>
        <w:tc>
          <w:tcPr>
            <w:tcW w:type="dxa" w:w="1938"/>
            <w:shd w:val="clear" w:color="auto" w:fill="FFFFFF"/>
          </w:tcPr>
          <w:p>
            <w:r>
              <w:t>5</w:t>
            </w:r>
          </w:p>
        </w:tc>
        <w:tc>
          <w:tcPr>
            <w:tcW w:type="dxa" w:w="1938"/>
            <w:shd w:val="clear" w:color="auto" w:fill="FFFFFF"/>
          </w:tcPr>
          <w:p>
            <w:r>
              <w:t>393,0</w:t>
            </w:r>
          </w:p>
        </w:tc>
        <w:tc>
          <w:tcPr>
            <w:tcW w:type="dxa" w:w="1938"/>
            <w:shd w:val="clear" w:color="auto" w:fill="FFFFFF"/>
          </w:tcPr>
          <w:p>
            <w:r>
              <w:t>1 280 500</w:t>
            </w:r>
          </w:p>
        </w:tc>
        <w:tc>
          <w:tcPr>
            <w:tcW w:type="dxa" w:w="1938"/>
          </w:tcPr>
          <w:p>
            <w:r>
              <w:t>9,3 %</w:t>
            </w:r>
          </w:p>
        </w:tc>
      </w:tr>
      <w:tr>
        <w:tc>
          <w:tcPr>
            <w:tcW w:type="dxa" w:w="1938"/>
            <w:shd w:val="clear" w:color="auto" w:fill="EBF3FA"/>
          </w:tcPr>
          <w:p>
            <w:r>
              <w:t>Bureaux administration</w:t>
            </w:r>
          </w:p>
        </w:tc>
        <w:tc>
          <w:tcPr>
            <w:tcW w:type="dxa" w:w="1938"/>
            <w:shd w:val="clear" w:color="auto" w:fill="EBF3FA"/>
          </w:tcPr>
          <w:p>
            <w:r>
              <w:t>4</w:t>
            </w:r>
          </w:p>
        </w:tc>
        <w:tc>
          <w:tcPr>
            <w:tcW w:type="dxa" w:w="1938"/>
            <w:shd w:val="clear" w:color="auto" w:fill="EBF3FA"/>
          </w:tcPr>
          <w:p>
            <w:r>
              <w:t>11,7</w:t>
            </w:r>
          </w:p>
        </w:tc>
        <w:tc>
          <w:tcPr>
            <w:tcW w:type="dxa" w:w="1938"/>
            <w:shd w:val="clear" w:color="auto" w:fill="EBF3FA"/>
          </w:tcPr>
          <w:p>
            <w:r>
              <w:t>34 348</w:t>
            </w:r>
          </w:p>
        </w:tc>
        <w:tc>
          <w:tcPr>
            <w:tcW w:type="dxa" w:w="1938"/>
          </w:tcPr>
          <w:p>
            <w:r>
              <w:t>0,2 %</w:t>
            </w:r>
          </w:p>
        </w:tc>
      </w:tr>
      <w:tr>
        <w:tc>
          <w:tcPr>
            <w:tcW w:type="dxa" w:w="1938"/>
            <w:shd w:val="clear" w:color="auto" w:fill="FFFFFF"/>
          </w:tcPr>
          <w:p>
            <w:r>
              <w:t>Chaufferie</w:t>
            </w:r>
          </w:p>
        </w:tc>
        <w:tc>
          <w:tcPr>
            <w:tcW w:type="dxa" w:w="1938"/>
            <w:shd w:val="clear" w:color="auto" w:fill="FFFFFF"/>
          </w:tcPr>
          <w:p>
            <w:r>
              <w:t>3</w:t>
            </w:r>
          </w:p>
        </w:tc>
        <w:tc>
          <w:tcPr>
            <w:tcW w:type="dxa" w:w="1938"/>
            <w:shd w:val="clear" w:color="auto" w:fill="FFFFFF"/>
          </w:tcPr>
          <w:p>
            <w:r>
              <w:t>550,8</w:t>
            </w:r>
          </w:p>
        </w:tc>
        <w:tc>
          <w:tcPr>
            <w:tcW w:type="dxa" w:w="1938"/>
            <w:shd w:val="clear" w:color="auto" w:fill="FFFFFF"/>
          </w:tcPr>
          <w:p>
            <w:r>
              <w:t>2 653 600</w:t>
            </w:r>
          </w:p>
        </w:tc>
        <w:tc>
          <w:tcPr>
            <w:tcW w:type="dxa" w:w="1938"/>
          </w:tcPr>
          <w:p>
            <w:r>
              <w:t>19,2 %</w:t>
            </w:r>
          </w:p>
        </w:tc>
      </w:tr>
      <w:tr>
        <w:tc>
          <w:tcPr>
            <w:tcW w:type="dxa" w:w="1938"/>
            <w:shd w:val="clear" w:color="auto" w:fill="EBF3FA"/>
          </w:tcPr>
          <w:p>
            <w:r>
              <w:t>Contrôle qualité</w:t>
            </w:r>
          </w:p>
        </w:tc>
        <w:tc>
          <w:tcPr>
            <w:tcW w:type="dxa" w:w="1938"/>
            <w:shd w:val="clear" w:color="auto" w:fill="EBF3FA"/>
          </w:tcPr>
          <w:p>
            <w:r>
              <w:t>3</w:t>
            </w:r>
          </w:p>
        </w:tc>
        <w:tc>
          <w:tcPr>
            <w:tcW w:type="dxa" w:w="1938"/>
            <w:shd w:val="clear" w:color="auto" w:fill="EBF3FA"/>
          </w:tcPr>
          <w:p>
            <w:r>
              <w:t>11,5</w:t>
            </w:r>
          </w:p>
        </w:tc>
        <w:tc>
          <w:tcPr>
            <w:tcW w:type="dxa" w:w="1938"/>
            <w:shd w:val="clear" w:color="auto" w:fill="EBF3FA"/>
          </w:tcPr>
          <w:p>
            <w:r>
              <w:t>23 750</w:t>
            </w:r>
          </w:p>
        </w:tc>
        <w:tc>
          <w:tcPr>
            <w:tcW w:type="dxa" w:w="1938"/>
          </w:tcPr>
          <w:p>
            <w:r>
              <w:t>0,2 %</w:t>
            </w:r>
          </w:p>
        </w:tc>
      </w:tr>
      <w:tr>
        <w:tc>
          <w:tcPr>
            <w:tcW w:type="dxa" w:w="1938"/>
            <w:shd w:val="clear" w:color="auto" w:fill="FFFFFF"/>
          </w:tcPr>
          <w:p>
            <w:r>
              <w:t>Expédition</w:t>
            </w:r>
          </w:p>
        </w:tc>
        <w:tc>
          <w:tcPr>
            <w:tcW w:type="dxa" w:w="1938"/>
            <w:shd w:val="clear" w:color="auto" w:fill="FFFFFF"/>
          </w:tcPr>
          <w:p>
            <w:r>
              <w:t>3</w:t>
            </w:r>
          </w:p>
        </w:tc>
        <w:tc>
          <w:tcPr>
            <w:tcW w:type="dxa" w:w="1938"/>
            <w:shd w:val="clear" w:color="auto" w:fill="FFFFFF"/>
          </w:tcPr>
          <w:p>
            <w:r>
              <w:t>20,0</w:t>
            </w:r>
          </w:p>
        </w:tc>
        <w:tc>
          <w:tcPr>
            <w:tcW w:type="dxa" w:w="1938"/>
            <w:shd w:val="clear" w:color="auto" w:fill="FFFFFF"/>
          </w:tcPr>
          <w:p>
            <w:r>
              <w:t>58 500</w:t>
            </w:r>
          </w:p>
        </w:tc>
        <w:tc>
          <w:tcPr>
            <w:tcW w:type="dxa" w:w="1938"/>
          </w:tcPr>
          <w:p>
            <w:r>
              <w:t>0,4 %</w:t>
            </w:r>
          </w:p>
        </w:tc>
      </w:tr>
      <w:tr>
        <w:tc>
          <w:tcPr>
            <w:tcW w:type="dxa" w:w="1938"/>
            <w:shd w:val="clear" w:color="auto" w:fill="EBF3FA"/>
          </w:tcPr>
          <w:p>
            <w:r>
              <w:t>Hall de fusion</w:t>
            </w:r>
          </w:p>
        </w:tc>
        <w:tc>
          <w:tcPr>
            <w:tcW w:type="dxa" w:w="1938"/>
            <w:shd w:val="clear" w:color="auto" w:fill="EBF3FA"/>
          </w:tcPr>
          <w:p>
            <w:r>
              <w:t>6</w:t>
            </w:r>
          </w:p>
        </w:tc>
        <w:tc>
          <w:tcPr>
            <w:tcW w:type="dxa" w:w="1938"/>
            <w:shd w:val="clear" w:color="auto" w:fill="EBF3FA"/>
          </w:tcPr>
          <w:p>
            <w:r>
              <w:t>953,0</w:t>
            </w:r>
          </w:p>
        </w:tc>
        <w:tc>
          <w:tcPr>
            <w:tcW w:type="dxa" w:w="1938"/>
            <w:shd w:val="clear" w:color="auto" w:fill="EBF3FA"/>
          </w:tcPr>
          <w:p>
            <w:r>
              <w:t>6 509 500</w:t>
            </w:r>
          </w:p>
        </w:tc>
        <w:tc>
          <w:tcPr>
            <w:tcW w:type="dxa" w:w="1938"/>
          </w:tcPr>
          <w:p>
            <w:r>
              <w:t>47,2 %</w:t>
            </w:r>
          </w:p>
        </w:tc>
      </w:tr>
      <w:tr>
        <w:tc>
          <w:tcPr>
            <w:tcW w:type="dxa" w:w="1938"/>
            <w:shd w:val="clear" w:color="auto" w:fill="FFFFFF"/>
          </w:tcPr>
          <w:p>
            <w:r>
              <w:t>Quai de chargement</w:t>
            </w:r>
          </w:p>
        </w:tc>
        <w:tc>
          <w:tcPr>
            <w:tcW w:type="dxa" w:w="1938"/>
            <w:shd w:val="clear" w:color="auto" w:fill="FFFFFF"/>
          </w:tcPr>
          <w:p>
            <w:r>
              <w:t>2</w:t>
            </w:r>
          </w:p>
        </w:tc>
        <w:tc>
          <w:tcPr>
            <w:tcW w:type="dxa" w:w="1938"/>
            <w:shd w:val="clear" w:color="auto" w:fill="FFFFFF"/>
          </w:tcPr>
          <w:p>
            <w:r>
              <w:t>3,4</w:t>
            </w:r>
          </w:p>
        </w:tc>
        <w:tc>
          <w:tcPr>
            <w:tcW w:type="dxa" w:w="1938"/>
            <w:shd w:val="clear" w:color="auto" w:fill="FFFFFF"/>
          </w:tcPr>
          <w:p>
            <w:r>
              <w:t>9 200</w:t>
            </w:r>
          </w:p>
        </w:tc>
        <w:tc>
          <w:tcPr>
            <w:tcW w:type="dxa" w:w="1938"/>
          </w:tcPr>
          <w:p>
            <w:r>
              <w:t>0,1 %</w:t>
            </w:r>
          </w:p>
        </w:tc>
      </w:tr>
      <w:tr>
        <w:tc>
          <w:tcPr>
            <w:tcW w:type="dxa" w:w="1938"/>
            <w:shd w:val="clear" w:color="auto" w:fill="EBF3FA"/>
          </w:tcPr>
          <w:p>
            <w:r>
              <w:t>Réfectoire</w:t>
            </w:r>
          </w:p>
        </w:tc>
        <w:tc>
          <w:tcPr>
            <w:tcW w:type="dxa" w:w="1938"/>
            <w:shd w:val="clear" w:color="auto" w:fill="EBF3FA"/>
          </w:tcPr>
          <w:p>
            <w:r>
              <w:t>3</w:t>
            </w:r>
          </w:p>
        </w:tc>
        <w:tc>
          <w:tcPr>
            <w:tcW w:type="dxa" w:w="1938"/>
            <w:shd w:val="clear" w:color="auto" w:fill="EBF3FA"/>
          </w:tcPr>
          <w:p>
            <w:r>
              <w:t>29,0</w:t>
            </w:r>
          </w:p>
        </w:tc>
        <w:tc>
          <w:tcPr>
            <w:tcW w:type="dxa" w:w="1938"/>
            <w:shd w:val="clear" w:color="auto" w:fill="EBF3FA"/>
          </w:tcPr>
          <w:p>
            <w:r>
              <w:t>69 040</w:t>
            </w:r>
          </w:p>
        </w:tc>
        <w:tc>
          <w:tcPr>
            <w:tcW w:type="dxa" w:w="1938"/>
          </w:tcPr>
          <w:p>
            <w:r>
              <w:t>0,5 %</w:t>
            </w:r>
          </w:p>
        </w:tc>
      </w:tr>
      <w:tr>
        <w:tc>
          <w:tcPr>
            <w:tcW w:type="dxa" w:w="1938"/>
            <w:shd w:val="clear" w:color="auto" w:fill="FFFFFF"/>
          </w:tcPr>
          <w:p>
            <w:r>
              <w:t>Salle compresseurs</w:t>
            </w:r>
          </w:p>
        </w:tc>
        <w:tc>
          <w:tcPr>
            <w:tcW w:type="dxa" w:w="1938"/>
            <w:shd w:val="clear" w:color="auto" w:fill="FFFFFF"/>
          </w:tcPr>
          <w:p>
            <w:r>
              <w:t>3</w:t>
            </w:r>
          </w:p>
        </w:tc>
        <w:tc>
          <w:tcPr>
            <w:tcW w:type="dxa" w:w="1938"/>
            <w:shd w:val="clear" w:color="auto" w:fill="FFFFFF"/>
          </w:tcPr>
          <w:p>
            <w:r>
              <w:t>63,5</w:t>
            </w:r>
          </w:p>
        </w:tc>
        <w:tc>
          <w:tcPr>
            <w:tcW w:type="dxa" w:w="1938"/>
            <w:shd w:val="clear" w:color="auto" w:fill="FFFFFF"/>
          </w:tcPr>
          <w:p>
            <w:r>
              <w:t>439 250</w:t>
            </w:r>
          </w:p>
        </w:tc>
        <w:tc>
          <w:tcPr>
            <w:tcW w:type="dxa" w:w="1938"/>
          </w:tcPr>
          <w:p>
            <w:r>
              <w:t>3,2 %</w:t>
            </w:r>
          </w:p>
        </w:tc>
      </w:tr>
      <w:tr>
        <w:tc>
          <w:tcPr>
            <w:tcW w:type="dxa" w:w="1938"/>
            <w:shd w:val="clear" w:color="auto" w:fill="EBF3FA"/>
          </w:tcPr>
          <w:p>
            <w:r>
              <w:t>Sanitaires</w:t>
            </w:r>
          </w:p>
        </w:tc>
        <w:tc>
          <w:tcPr>
            <w:tcW w:type="dxa" w:w="1938"/>
            <w:shd w:val="clear" w:color="auto" w:fill="EBF3FA"/>
          </w:tcPr>
          <w:p>
            <w:r>
              <w:t>1</w:t>
            </w:r>
          </w:p>
        </w:tc>
        <w:tc>
          <w:tcPr>
            <w:tcW w:type="dxa" w:w="1938"/>
            <w:shd w:val="clear" w:color="auto" w:fill="EBF3FA"/>
          </w:tcPr>
          <w:p>
            <w:r>
              <w:t>0,6</w:t>
            </w:r>
          </w:p>
        </w:tc>
        <w:tc>
          <w:tcPr>
            <w:tcW w:type="dxa" w:w="1938"/>
            <w:shd w:val="clear" w:color="auto" w:fill="EBF3FA"/>
          </w:tcPr>
          <w:p>
            <w:r>
              <w:t>2 475</w:t>
            </w:r>
          </w:p>
        </w:tc>
        <w:tc>
          <w:tcPr>
            <w:tcW w:type="dxa" w:w="1938"/>
          </w:tcPr>
          <w:p>
            <w:r>
              <w:t>0,0 %</w:t>
            </w:r>
          </w:p>
        </w:tc>
      </w:tr>
      <w:tr>
        <w:tc>
          <w:tcPr>
            <w:tcW w:type="dxa" w:w="1938"/>
            <w:shd w:val="clear" w:color="auto" w:fill="FFFFFF"/>
          </w:tcPr>
          <w:p>
            <w:r>
              <w:t>Traitement thermique</w:t>
            </w:r>
          </w:p>
        </w:tc>
        <w:tc>
          <w:tcPr>
            <w:tcW w:type="dxa" w:w="1938"/>
            <w:shd w:val="clear" w:color="auto" w:fill="FFFFFF"/>
          </w:tcPr>
          <w:p>
            <w:r>
              <w:t>4</w:t>
            </w:r>
          </w:p>
        </w:tc>
        <w:tc>
          <w:tcPr>
            <w:tcW w:type="dxa" w:w="1938"/>
            <w:shd w:val="clear" w:color="auto" w:fill="FFFFFF"/>
          </w:tcPr>
          <w:p>
            <w:r>
              <w:t>238,0</w:t>
            </w:r>
          </w:p>
        </w:tc>
        <w:tc>
          <w:tcPr>
            <w:tcW w:type="dxa" w:w="1938"/>
            <w:shd w:val="clear" w:color="auto" w:fill="FFFFFF"/>
          </w:tcPr>
          <w:p>
            <w:r>
              <w:t>1 116 000</w:t>
            </w:r>
          </w:p>
        </w:tc>
        <w:tc>
          <w:tcPr>
            <w:tcW w:type="dxa" w:w="1938"/>
          </w:tcPr>
          <w:p>
            <w:r>
              <w:t>8,1 %</w:t>
            </w:r>
          </w:p>
        </w:tc>
      </w:tr>
      <w:tr>
        <w:tc>
          <w:tcPr>
            <w:tcW w:type="dxa" w:w="1938"/>
            <w:shd w:val="clear" w:color="auto" w:fill="EBF3FA"/>
          </w:tcPr>
          <w:p>
            <w:r>
              <w:t>Vestiaires</w:t>
            </w:r>
          </w:p>
        </w:tc>
        <w:tc>
          <w:tcPr>
            <w:tcW w:type="dxa" w:w="1938"/>
            <w:shd w:val="clear" w:color="auto" w:fill="EBF3FA"/>
          </w:tcPr>
          <w:p>
            <w:r>
              <w:t>1</w:t>
            </w:r>
          </w:p>
        </w:tc>
        <w:tc>
          <w:tcPr>
            <w:tcW w:type="dxa" w:w="1938"/>
            <w:shd w:val="clear" w:color="auto" w:fill="EBF3FA"/>
          </w:tcPr>
          <w:p>
            <w:r>
              <w:t>3,0</w:t>
            </w:r>
          </w:p>
        </w:tc>
        <w:tc>
          <w:tcPr>
            <w:tcW w:type="dxa" w:w="1938"/>
            <w:shd w:val="clear" w:color="auto" w:fill="EBF3FA"/>
          </w:tcPr>
          <w:p>
            <w:r>
              <w:t>13 500</w:t>
            </w:r>
          </w:p>
        </w:tc>
        <w:tc>
          <w:tcPr>
            <w:tcW w:type="dxa" w:w="1938"/>
          </w:tcPr>
          <w:p>
            <w:r>
              <w:t>0,1 %</w:t>
            </w:r>
          </w:p>
        </w:tc>
      </w:tr>
      <w:tr>
        <w:tc>
          <w:tcPr>
            <w:tcW w:type="dxa" w:w="1938"/>
            <w:shd w:val="clear" w:color="auto" w:fill="FFFFFF"/>
          </w:tcPr>
          <w:p>
            <w:r>
              <w:t>Zone de coulée</w:t>
            </w:r>
          </w:p>
        </w:tc>
        <w:tc>
          <w:tcPr>
            <w:tcW w:type="dxa" w:w="1938"/>
            <w:shd w:val="clear" w:color="auto" w:fill="FFFFFF"/>
          </w:tcPr>
          <w:p>
            <w:r>
              <w:t>5</w:t>
            </w:r>
          </w:p>
        </w:tc>
        <w:tc>
          <w:tcPr>
            <w:tcW w:type="dxa" w:w="1938"/>
            <w:shd w:val="clear" w:color="auto" w:fill="FFFFFF"/>
          </w:tcPr>
          <w:p>
            <w:r>
              <w:t>285,7</w:t>
            </w:r>
          </w:p>
        </w:tc>
        <w:tc>
          <w:tcPr>
            <w:tcW w:type="dxa" w:w="1938"/>
            <w:shd w:val="clear" w:color="auto" w:fill="FFFFFF"/>
          </w:tcPr>
          <w:p>
            <w:r>
              <w:t>1 583 950</w:t>
            </w:r>
          </w:p>
        </w:tc>
        <w:tc>
          <w:tcPr>
            <w:tcW w:type="dxa" w:w="1938"/>
          </w:tcPr>
          <w:p>
            <w:r>
              <w:t>11,5 %</w:t>
            </w:r>
          </w:p>
        </w:tc>
      </w:tr>
      <w:tr>
        <w:tc>
          <w:tcPr>
            <w:tcW w:type="dxa" w:w="1938"/>
            <w:shd w:val="clear" w:color="auto" w:fill="EBF3FA"/>
          </w:tcPr>
          <w:p>
            <w:r>
              <w:t>Non affecté</w:t>
            </w:r>
          </w:p>
        </w:tc>
        <w:tc>
          <w:tcPr>
            <w:tcW w:type="dxa" w:w="1938"/>
            <w:shd w:val="clear" w:color="auto" w:fill="EBF3FA"/>
          </w:tcPr>
          <w:p>
            <w:r>
              <w:t>3</w:t>
            </w:r>
          </w:p>
        </w:tc>
        <w:tc>
          <w:tcPr>
            <w:tcW w:type="dxa" w:w="1938"/>
            <w:shd w:val="clear" w:color="auto" w:fill="EBF3FA"/>
          </w:tcPr>
          <w:p>
            <w:r>
              <w:t>0,0</w:t>
            </w:r>
          </w:p>
        </w:tc>
        <w:tc>
          <w:tcPr>
            <w:tcW w:type="dxa" w:w="1938"/>
            <w:shd w:val="clear" w:color="auto" w:fill="EBF3FA"/>
          </w:tcPr>
          <w:p>
            <w:r>
              <w:t>0</w:t>
            </w:r>
          </w:p>
        </w:tc>
        <w:tc>
          <w:tcPr>
            <w:tcW w:type="dxa" w:w="1938"/>
          </w:tcPr>
          <w:p>
            <w:r>
              <w:t>0,0 %</w:t>
            </w:r>
          </w:p>
        </w:tc>
      </w:tr>
      <w:tr>
        <w:tc>
          <w:tcPr>
            <w:tcW w:type="dxa" w:w="1938"/>
            <w:shd w:val="clear" w:color="auto" w:fill="EBF3FA"/>
            <w:shd w:val="clear" w:color="auto" w:fill="FFFFFF"/>
          </w:tcPr>
          <w:p>
            <w:r>
              <w:rPr>
                <w:b/>
              </w:rPr>
              <w:t>TOTAL</w:t>
            </w:r>
          </w:p>
        </w:tc>
        <w:tc>
          <w:tcPr>
            <w:tcW w:type="dxa" w:w="1938"/>
            <w:shd w:val="clear" w:color="auto" w:fill="EBF3FA"/>
            <w:shd w:val="clear" w:color="auto" w:fill="FFFFFF"/>
          </w:tcPr>
          <w:p>
            <w:r>
              <w:rPr>
                <w:b/>
              </w:rPr>
              <w:t>46</w:t>
            </w:r>
          </w:p>
        </w:tc>
        <w:tc>
          <w:tcPr>
            <w:tcW w:type="dxa" w:w="1938"/>
            <w:shd w:val="clear" w:color="auto" w:fill="EBF3FA"/>
            <w:shd w:val="clear" w:color="auto" w:fill="FFFFFF"/>
          </w:tcPr>
          <w:p>
            <w:r>
              <w:rPr>
                <w:b/>
              </w:rPr>
              <w:t>2 563,2</w:t>
            </w:r>
          </w:p>
        </w:tc>
        <w:tc>
          <w:tcPr>
            <w:tcW w:type="dxa" w:w="1938"/>
            <w:shd w:val="clear" w:color="auto" w:fill="EBF3FA"/>
            <w:shd w:val="clear" w:color="auto" w:fill="FFFFFF"/>
          </w:tcPr>
          <w:p>
            <w:r>
              <w:rPr>
                <w:b/>
              </w:rPr>
              <w:t>13 793 613</w:t>
            </w:r>
          </w:p>
        </w:tc>
        <w:tc>
          <w:tcPr>
            <w:tcW w:type="dxa" w:w="1938"/>
            <w:shd w:val="clear" w:color="auto" w:fill="EBF3FA"/>
          </w:tcPr>
          <w:p>
            <w:r>
              <w:rPr>
                <w:b/>
              </w:rPr>
              <w:t>100 %</w:t>
            </w:r>
          </w:p>
        </w:tc>
      </w:tr>
    </w:tbl>
    <w:p>
      <w:r>
        <w:br w:type="page"/>
      </w:r>
    </w:p>
    <w:p>
      <w:pPr>
        <w:spacing w:before="0" w:after="80"/>
        <w:pBdr>
          <w:left w:val="single" w:sz="24" w:space="4" w:color="1F4E79"/>
        </w:pBdr>
        <w:shd w:val="clear" w:color="auto" w:fill="EBF3FA"/>
      </w:pPr>
      <w:r>
        <w:rPr>
          <w:b/>
          <w:color w:val="FFFFFF"/>
          <w:sz w:val="26"/>
          <w:shd w:val="clear" w:color="auto" w:fill="1F4E79"/>
        </w:rPr>
        <w:t xml:space="preserve">  4.  </w:t>
      </w:r>
      <w:r>
        <w:rPr>
          <w:b/>
          <w:color w:val="1F4E79"/>
          <w:sz w:val="26"/>
        </w:rPr>
        <w:t xml:space="preserve"> État initial — Registre F-Gaz (EU 517/2014)</w:t>
      </w:r>
    </w:p>
    <w:p>
      <w:pPr>
        <w:spacing w:after="120"/>
      </w:pPr>
      <w:r>
        <w:rPr>
          <w:sz w:val="20"/>
        </w:rPr>
        <w:t>Conformément au règlement européen EU 517/2014, les équipements contenant des fluides frigorigènes sont inventoriés ci-dessous avec leur impact en équivalent CO₂.</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Équipements F-Gaz</w:t>
            </w:r>
          </w:p>
          <w:p>
            <w:pPr>
              <w:spacing w:before="0" w:after="40"/>
              <w:ind w:left="120"/>
            </w:pPr>
            <w:r>
              <w:rPr>
                <w:b/>
                <w:color w:val="1F4E79"/>
                <w:sz w:val="30"/>
              </w:rPr>
              <w:t>6</w:t>
            </w:r>
          </w:p>
        </w:tc>
        <w:tc>
          <w:tcPr>
            <w:tcW w:type="dxa" w:w="2422"/>
            <w:shd w:val="clear" w:color="auto" w:fill="EBF3FA"/>
            <w:tcBdr>
              <w:top w:val="single" w:sz="12" w:color="2E5F8A"/>
            </w:tcBdr>
          </w:tcPr>
          <w:p>
            <w:pPr>
              <w:spacing w:before="80" w:after="0"/>
              <w:ind w:left="120"/>
            </w:pPr>
            <w:r>
              <w:rPr>
                <w:color w:val="555555"/>
                <w:sz w:val="16"/>
              </w:rPr>
              <w:t>Charge totale</w:t>
            </w:r>
          </w:p>
          <w:p>
            <w:pPr>
              <w:spacing w:before="0" w:after="40"/>
              <w:ind w:left="120"/>
            </w:pPr>
            <w:r>
              <w:rPr>
                <w:b/>
                <w:color w:val="2E5F8A"/>
                <w:sz w:val="30"/>
              </w:rPr>
              <w:t>11,1</w:t>
            </w:r>
            <w:r>
              <w:rPr>
                <w:color w:val="555555"/>
                <w:sz w:val="16"/>
              </w:rPr>
              <w:t xml:space="preserve"> kg</w:t>
            </w:r>
          </w:p>
        </w:tc>
        <w:tc>
          <w:tcPr>
            <w:tcW w:type="dxa" w:w="2422"/>
            <w:shd w:val="clear" w:color="auto" w:fill="EBF3FA"/>
            <w:tcBdr>
              <w:top w:val="single" w:sz="12" w:color="1A7A45"/>
            </w:tcBdr>
          </w:tcPr>
          <w:p>
            <w:pPr>
              <w:spacing w:before="80" w:after="0"/>
              <w:ind w:left="120"/>
            </w:pPr>
            <w:r>
              <w:rPr>
                <w:color w:val="555555"/>
                <w:sz w:val="16"/>
              </w:rPr>
              <w:t>Impact total</w:t>
            </w:r>
          </w:p>
          <w:p>
            <w:pPr>
              <w:spacing w:before="0" w:after="40"/>
              <w:ind w:left="120"/>
            </w:pPr>
            <w:r>
              <w:rPr>
                <w:b/>
                <w:color w:val="1A7A45"/>
                <w:sz w:val="30"/>
              </w:rPr>
              <w:t>15,92</w:t>
            </w:r>
            <w:r>
              <w:rPr>
                <w:color w:val="555555"/>
                <w:sz w:val="16"/>
              </w:rPr>
              <w:t xml:space="preserve"> t eq.CO₂</w:t>
            </w:r>
          </w:p>
        </w:tc>
        <w:tc>
          <w:tcPr>
            <w:tcW w:type="dxa" w:w="2422"/>
            <w:shd w:val="clear" w:color="auto" w:fill="EBF3FA"/>
            <w:tcBdr>
              <w:top w:val="single" w:sz="12" w:color="C45A00"/>
            </w:tcBdr>
          </w:tcPr>
          <w:p>
            <w:pPr>
              <w:spacing w:before="80" w:after="0"/>
              <w:ind w:left="120"/>
            </w:pPr>
            <w:r>
              <w:rPr>
                <w:color w:val="555555"/>
                <w:sz w:val="16"/>
              </w:rPr>
              <w:t>Niveau réglementaire</w:t>
            </w:r>
          </w:p>
          <w:p>
            <w:pPr>
              <w:spacing w:before="0" w:after="40"/>
              <w:ind w:left="120"/>
            </w:pPr>
            <w:r>
              <w:rPr>
                <w:b/>
                <w:color w:val="C45A00"/>
                <w:sz w:val="30"/>
              </w:rPr>
              <w:t>Contrôle annuel</w:t>
            </w:r>
          </w:p>
        </w:tc>
      </w:tr>
    </w:tbl>
    <w:p>
      <w:pPr>
        <w:spacing w:after="80"/>
      </w:pPr>
    </w:p>
    <w:tbl>
      <w:tblPr>
        <w:tblStyle w:val="TableGrid"/>
        <w:tblW w:type="auto" w:w="0"/>
        <w:tblLook w:firstColumn="1" w:firstRow="1" w:lastColumn="0" w:lastRow="0" w:noHBand="0" w:noVBand="1" w:val="04A0"/>
        <w:tblW w:w="8505" w:type="dxa"/>
        <w:tblLayout w:type="fixed"/>
      </w:tblPr>
      <w:tblGrid>
        <w:gridCol w:w="1077"/>
        <w:gridCol w:w="1077"/>
        <w:gridCol w:w="1077"/>
        <w:gridCol w:w="1077"/>
        <w:gridCol w:w="1077"/>
        <w:gridCol w:w="1077"/>
        <w:gridCol w:w="1077"/>
        <w:gridCol w:w="1077"/>
        <w:gridCol w:w="1077"/>
      </w:tblGrid>
      <w:tr>
        <w:tc>
          <w:tcPr>
            <w:tcW w:type="dxa" w:w="283"/>
            <w:shd w:val="clear" w:color="auto" w:fill="1F4E79"/>
          </w:tcPr>
          <w:p>
            <w:pPr>
              <w:jc w:val="center"/>
            </w:pPr>
            <w:r>
              <w:rPr>
                <w:b/>
                <w:color w:val="FFFFFF"/>
                <w:sz w:val="16"/>
              </w:rPr>
              <w:t>#</w:t>
            </w:r>
          </w:p>
        </w:tc>
        <w:tc>
          <w:tcPr>
            <w:tcW w:type="dxa" w:w="1417"/>
            <w:shd w:val="clear" w:color="auto" w:fill="1F4E79"/>
          </w:tcPr>
          <w:p>
            <w:pPr>
              <w:jc w:val="center"/>
            </w:pPr>
            <w:r>
              <w:rPr>
                <w:b/>
                <w:color w:val="FFFFFF"/>
                <w:sz w:val="16"/>
              </w:rPr>
              <w:t>Type</w:t>
            </w:r>
          </w:p>
        </w:tc>
        <w:tc>
          <w:tcPr>
            <w:tcW w:type="dxa" w:w="1417"/>
            <w:shd w:val="clear" w:color="auto" w:fill="1F4E79"/>
          </w:tcPr>
          <w:p>
            <w:pPr>
              <w:jc w:val="center"/>
            </w:pPr>
            <w:r>
              <w:rPr>
                <w:b/>
                <w:color w:val="FFFFFF"/>
                <w:sz w:val="16"/>
              </w:rPr>
              <w:t>Marque / Modèle</w:t>
            </w:r>
          </w:p>
        </w:tc>
        <w:tc>
          <w:tcPr>
            <w:tcW w:type="dxa" w:w="1134"/>
            <w:shd w:val="clear" w:color="auto" w:fill="1F4E79"/>
          </w:tcPr>
          <w:p>
            <w:pPr>
              <w:jc w:val="center"/>
            </w:pPr>
            <w:r>
              <w:rPr>
                <w:b/>
                <w:color w:val="FFFFFF"/>
                <w:sz w:val="16"/>
              </w:rPr>
              <w:t>Zone</w:t>
            </w:r>
          </w:p>
        </w:tc>
        <w:tc>
          <w:tcPr>
            <w:tcW w:type="dxa" w:w="1134"/>
            <w:shd w:val="clear" w:color="auto" w:fill="1F4E79"/>
          </w:tcPr>
          <w:p>
            <w:pPr>
              <w:jc w:val="center"/>
            </w:pPr>
            <w:r>
              <w:rPr>
                <w:b/>
                <w:color w:val="FFFFFF"/>
                <w:sz w:val="16"/>
              </w:rPr>
              <w:t>Fluide</w:t>
            </w:r>
          </w:p>
        </w:tc>
        <w:tc>
          <w:tcPr>
            <w:tcW w:type="dxa" w:w="850"/>
            <w:shd w:val="clear" w:color="auto" w:fill="1F4E79"/>
          </w:tcPr>
          <w:p>
            <w:pPr>
              <w:jc w:val="center"/>
            </w:pPr>
            <w:r>
              <w:rPr>
                <w:b/>
                <w:color w:val="FFFFFF"/>
                <w:sz w:val="16"/>
              </w:rPr>
              <w:t>Charge (kg)</w:t>
            </w:r>
          </w:p>
        </w:tc>
        <w:tc>
          <w:tcPr>
            <w:tcW w:type="dxa" w:w="737"/>
            <w:shd w:val="clear" w:color="auto" w:fill="1F4E79"/>
          </w:tcPr>
          <w:p>
            <w:pPr>
              <w:jc w:val="center"/>
            </w:pPr>
            <w:r>
              <w:rPr>
                <w:b/>
                <w:color w:val="FFFFFF"/>
                <w:sz w:val="16"/>
              </w:rPr>
              <w:t>GWP</w:t>
            </w:r>
          </w:p>
        </w:tc>
        <w:tc>
          <w:tcPr>
            <w:tcW w:type="dxa" w:w="850"/>
            <w:shd w:val="clear" w:color="auto" w:fill="1F4E79"/>
          </w:tcPr>
          <w:p>
            <w:pPr>
              <w:jc w:val="center"/>
            </w:pPr>
            <w:r>
              <w:rPr>
                <w:b/>
                <w:color w:val="FFFFFF"/>
                <w:sz w:val="16"/>
              </w:rPr>
              <w:t>t eq.CO₂</w:t>
            </w:r>
          </w:p>
        </w:tc>
        <w:tc>
          <w:tcPr>
            <w:tcW w:type="dxa" w:w="680"/>
            <w:shd w:val="clear" w:color="auto" w:fill="1F4E79"/>
          </w:tcPr>
          <w:p>
            <w:pPr>
              <w:jc w:val="center"/>
            </w:pPr>
            <w:r>
              <w:rPr>
                <w:b/>
                <w:color w:val="FFFFFF"/>
                <w:sz w:val="16"/>
              </w:rPr>
              <w:t>COP</w:t>
            </w:r>
          </w:p>
        </w:tc>
      </w:tr>
      <w:tr>
        <w:tc>
          <w:tcPr>
            <w:tcW w:type="dxa" w:w="283"/>
            <w:shd w:val="clear" w:color="auto" w:fill="FFFFFF"/>
          </w:tcPr>
          <w:p>
            <w:pPr>
              <w:jc w:val="center"/>
            </w:pPr>
            <w:r>
              <w:rPr>
                <w:sz w:val="16"/>
              </w:rPr>
              <w:t>1</w:t>
            </w:r>
          </w:p>
        </w:tc>
        <w:tc>
          <w:tcPr>
            <w:tcW w:type="dxa" w:w="1417"/>
            <w:shd w:val="clear" w:color="auto" w:fill="FFFFFF"/>
          </w:tcPr>
          <w:p>
            <w:pPr>
              <w:jc w:val="center"/>
            </w:pPr>
            <w:r>
              <w:rPr>
                <w:sz w:val="16"/>
              </w:rPr>
              <w:t>Autre</w:t>
            </w:r>
          </w:p>
        </w:tc>
        <w:tc>
          <w:tcPr>
            <w:tcW w:type="dxa" w:w="1417"/>
            <w:shd w:val="clear" w:color="auto" w:fill="FFFFFF"/>
          </w:tcPr>
          <w:p>
            <w:pPr>
              <w:jc w:val="center"/>
            </w:pPr>
            <w:r>
              <w:rPr>
                <w:sz w:val="16"/>
              </w:rPr>
              <w:t>MITSUBISHI ELECTRIC MUZ-AY20VG2</w:t>
            </w:r>
          </w:p>
        </w:tc>
        <w:tc>
          <w:tcPr>
            <w:tcW w:type="dxa" w:w="1134"/>
            <w:shd w:val="clear" w:color="auto" w:fill="FFFFFF"/>
          </w:tcPr>
          <w:p>
            <w:pPr>
              <w:jc w:val="center"/>
            </w:pPr>
            <w:r>
              <w:rPr>
                <w:sz w:val="16"/>
              </w:rPr>
              <w:t>Expédition</w:t>
            </w:r>
          </w:p>
        </w:tc>
        <w:tc>
          <w:tcPr>
            <w:tcW w:type="dxa" w:w="1134"/>
            <w:shd w:val="clear" w:color="auto" w:fill="FFFFFF"/>
          </w:tcPr>
          <w:p>
            <w:pPr>
              <w:jc w:val="center"/>
            </w:pPr>
            <w:r>
              <w:rPr>
                <w:sz w:val="16"/>
              </w:rPr>
              <w:t>R32</w:t>
            </w:r>
          </w:p>
        </w:tc>
        <w:tc>
          <w:tcPr>
            <w:tcW w:type="dxa" w:w="850"/>
            <w:shd w:val="clear" w:color="auto" w:fill="FFFFFF"/>
          </w:tcPr>
          <w:p>
            <w:pPr>
              <w:jc w:val="center"/>
            </w:pPr>
            <w:r>
              <w:rPr>
                <w:sz w:val="16"/>
              </w:rPr>
              <w:t>0,6</w:t>
            </w:r>
          </w:p>
        </w:tc>
        <w:tc>
          <w:tcPr>
            <w:tcW w:type="dxa" w:w="737"/>
            <w:shd w:val="clear" w:color="auto" w:fill="FFFFFF"/>
          </w:tcPr>
          <w:p>
            <w:pPr>
              <w:jc w:val="center"/>
            </w:pPr>
            <w:r>
              <w:rPr>
                <w:sz w:val="16"/>
              </w:rPr>
              <w:t>675</w:t>
            </w:r>
          </w:p>
        </w:tc>
        <w:tc>
          <w:tcPr>
            <w:tcW w:type="dxa" w:w="850"/>
            <w:shd w:val="clear" w:color="auto" w:fill="FFFFFF"/>
          </w:tcPr>
          <w:p>
            <w:pPr>
              <w:jc w:val="center"/>
            </w:pPr>
            <w:r>
              <w:rPr>
                <w:sz w:val="16"/>
              </w:rPr>
              <w:t>0,37</w:t>
            </w:r>
          </w:p>
        </w:tc>
        <w:tc>
          <w:tcPr>
            <w:tcW w:type="dxa" w:w="680"/>
            <w:shd w:val="clear" w:color="auto" w:fill="FFFFFF"/>
          </w:tcPr>
          <w:p>
            <w:pPr>
              <w:jc w:val="center"/>
            </w:pPr>
            <w:r>
              <w:rPr>
                <w:sz w:val="16"/>
              </w:rPr>
              <w:t>4,3</w:t>
            </w:r>
          </w:p>
        </w:tc>
      </w:tr>
      <w:tr>
        <w:tc>
          <w:tcPr>
            <w:tcW w:type="dxa" w:w="283"/>
            <w:shd w:val="clear" w:color="auto" w:fill="EBF3FA"/>
          </w:tcPr>
          <w:p>
            <w:pPr>
              <w:jc w:val="center"/>
            </w:pPr>
            <w:r>
              <w:rPr>
                <w:sz w:val="16"/>
              </w:rPr>
              <w:t>2</w:t>
            </w:r>
          </w:p>
        </w:tc>
        <w:tc>
          <w:tcPr>
            <w:tcW w:type="dxa" w:w="1417"/>
            <w:shd w:val="clear" w:color="auto" w:fill="EBF3FA"/>
          </w:tcPr>
          <w:p>
            <w:pPr>
              <w:jc w:val="center"/>
            </w:pPr>
            <w:r>
              <w:rPr>
                <w:sz w:val="16"/>
              </w:rPr>
              <w:t>Chambre froide positive</w:t>
            </w:r>
          </w:p>
        </w:tc>
        <w:tc>
          <w:tcPr>
            <w:tcW w:type="dxa" w:w="1417"/>
            <w:shd w:val="clear" w:color="auto" w:fill="EBF3FA"/>
          </w:tcPr>
          <w:p>
            <w:pPr>
              <w:jc w:val="center"/>
            </w:pPr>
            <w:r>
              <w:rPr>
                <w:sz w:val="16"/>
              </w:rPr>
              <w:t>Zanotti MGM315</w:t>
            </w:r>
          </w:p>
        </w:tc>
        <w:tc>
          <w:tcPr>
            <w:tcW w:type="dxa" w:w="1134"/>
            <w:shd w:val="clear" w:color="auto" w:fill="EBF3FA"/>
          </w:tcPr>
          <w:p>
            <w:pPr>
              <w:jc w:val="center"/>
            </w:pPr>
            <w:r>
              <w:rPr>
                <w:sz w:val="16"/>
              </w:rPr>
              <w:t>Réfectoire</w:t>
            </w:r>
          </w:p>
        </w:tc>
        <w:tc>
          <w:tcPr>
            <w:tcW w:type="dxa" w:w="1134"/>
            <w:shd w:val="clear" w:color="auto" w:fill="EBF3FA"/>
          </w:tcPr>
          <w:p>
            <w:pPr>
              <w:jc w:val="center"/>
            </w:pPr>
            <w:r>
              <w:rPr>
                <w:sz w:val="16"/>
              </w:rPr>
              <w:t>R-449A</w:t>
            </w:r>
          </w:p>
        </w:tc>
        <w:tc>
          <w:tcPr>
            <w:tcW w:type="dxa" w:w="850"/>
            <w:shd w:val="clear" w:color="auto" w:fill="EBF3FA"/>
          </w:tcPr>
          <w:p>
            <w:pPr>
              <w:jc w:val="center"/>
            </w:pPr>
            <w:r>
              <w:rPr>
                <w:sz w:val="16"/>
              </w:rPr>
              <w:t>3,5</w:t>
            </w:r>
          </w:p>
        </w:tc>
        <w:tc>
          <w:tcPr>
            <w:tcW w:type="dxa" w:w="737"/>
            <w:shd w:val="clear" w:color="auto" w:fill="EBF3FA"/>
          </w:tcPr>
          <w:p>
            <w:pPr>
              <w:jc w:val="center"/>
            </w:pPr>
            <w:r>
              <w:rPr>
                <w:sz w:val="16"/>
              </w:rPr>
              <w:t>1 397</w:t>
            </w:r>
          </w:p>
        </w:tc>
        <w:tc>
          <w:tcPr>
            <w:tcW w:type="dxa" w:w="850"/>
            <w:shd w:val="clear" w:color="auto" w:fill="EBF3FA"/>
          </w:tcPr>
          <w:p>
            <w:pPr>
              <w:jc w:val="center"/>
            </w:pPr>
            <w:r>
              <w:rPr>
                <w:sz w:val="16"/>
              </w:rPr>
              <w:t>4,89</w:t>
            </w:r>
          </w:p>
        </w:tc>
        <w:tc>
          <w:tcPr>
            <w:tcW w:type="dxa" w:w="680"/>
            <w:shd w:val="clear" w:color="auto" w:fill="EBF3FA"/>
          </w:tcPr>
          <w:p>
            <w:pPr>
              <w:jc w:val="center"/>
            </w:pPr>
            <w:r>
              <w:rPr>
                <w:sz w:val="16"/>
              </w:rPr>
              <w:t>—</w:t>
            </w:r>
          </w:p>
        </w:tc>
      </w:tr>
      <w:tr>
        <w:tc>
          <w:tcPr>
            <w:tcW w:type="dxa" w:w="283"/>
            <w:shd w:val="clear" w:color="auto" w:fill="FFFFFF"/>
          </w:tcPr>
          <w:p>
            <w:pPr>
              <w:jc w:val="center"/>
            </w:pPr>
            <w:r>
              <w:rPr>
                <w:sz w:val="16"/>
              </w:rPr>
              <w:t>3</w:t>
            </w:r>
          </w:p>
        </w:tc>
        <w:tc>
          <w:tcPr>
            <w:tcW w:type="dxa" w:w="1417"/>
            <w:shd w:val="clear" w:color="auto" w:fill="FFFFFF"/>
          </w:tcPr>
          <w:p>
            <w:pPr>
              <w:jc w:val="center"/>
            </w:pPr>
            <w:r>
              <w:rPr>
                <w:sz w:val="16"/>
              </w:rPr>
              <w:t>Climatisation</w:t>
            </w:r>
          </w:p>
        </w:tc>
        <w:tc>
          <w:tcPr>
            <w:tcW w:type="dxa" w:w="1417"/>
            <w:shd w:val="clear" w:color="auto" w:fill="FFFFFF"/>
          </w:tcPr>
          <w:p>
            <w:pPr>
              <w:jc w:val="center"/>
            </w:pPr>
            <w:r>
              <w:rPr>
                <w:sz w:val="16"/>
              </w:rPr>
              <w:t>Mitsubishi MSZ-AP50VG</w:t>
            </w:r>
          </w:p>
        </w:tc>
        <w:tc>
          <w:tcPr>
            <w:tcW w:type="dxa" w:w="1134"/>
            <w:shd w:val="clear" w:color="auto" w:fill="FFFFFF"/>
          </w:tcPr>
          <w:p>
            <w:pPr>
              <w:jc w:val="center"/>
            </w:pPr>
            <w:r>
              <w:rPr>
                <w:sz w:val="16"/>
              </w:rPr>
              <w:t>Réfectoire</w:t>
            </w:r>
          </w:p>
        </w:tc>
        <w:tc>
          <w:tcPr>
            <w:tcW w:type="dxa" w:w="1134"/>
            <w:shd w:val="clear" w:color="auto" w:fill="FFFFFF"/>
          </w:tcPr>
          <w:p>
            <w:pPr>
              <w:jc w:val="center"/>
            </w:pPr>
            <w:r>
              <w:rPr>
                <w:sz w:val="16"/>
              </w:rPr>
              <w:t>R-32</w:t>
            </w:r>
          </w:p>
        </w:tc>
        <w:tc>
          <w:tcPr>
            <w:tcW w:type="dxa" w:w="850"/>
            <w:shd w:val="clear" w:color="auto" w:fill="FFFFFF"/>
          </w:tcPr>
          <w:p>
            <w:pPr>
              <w:jc w:val="center"/>
            </w:pPr>
            <w:r>
              <w:rPr>
                <w:sz w:val="16"/>
              </w:rPr>
              <w:t>1,6</w:t>
            </w:r>
          </w:p>
        </w:tc>
        <w:tc>
          <w:tcPr>
            <w:tcW w:type="dxa" w:w="737"/>
            <w:shd w:val="clear" w:color="auto" w:fill="FFFFFF"/>
          </w:tcPr>
          <w:p>
            <w:pPr>
              <w:jc w:val="center"/>
            </w:pPr>
            <w:r>
              <w:rPr>
                <w:sz w:val="16"/>
              </w:rPr>
              <w:t>675</w:t>
            </w:r>
          </w:p>
        </w:tc>
        <w:tc>
          <w:tcPr>
            <w:tcW w:type="dxa" w:w="850"/>
            <w:shd w:val="clear" w:color="auto" w:fill="FFFFFF"/>
          </w:tcPr>
          <w:p>
            <w:pPr>
              <w:jc w:val="center"/>
            </w:pPr>
            <w:r>
              <w:rPr>
                <w:sz w:val="16"/>
              </w:rPr>
              <w:t>1,08</w:t>
            </w:r>
          </w:p>
        </w:tc>
        <w:tc>
          <w:tcPr>
            <w:tcW w:type="dxa" w:w="680"/>
            <w:shd w:val="clear" w:color="auto" w:fill="FFFFFF"/>
          </w:tcPr>
          <w:p>
            <w:pPr>
              <w:jc w:val="center"/>
            </w:pPr>
            <w:r>
              <w:rPr>
                <w:sz w:val="16"/>
              </w:rPr>
              <w:t>—</w:t>
            </w:r>
          </w:p>
        </w:tc>
      </w:tr>
      <w:tr>
        <w:tc>
          <w:tcPr>
            <w:tcW w:type="dxa" w:w="283"/>
            <w:shd w:val="clear" w:color="auto" w:fill="EBF3FA"/>
          </w:tcPr>
          <w:p>
            <w:pPr>
              <w:jc w:val="center"/>
            </w:pPr>
            <w:r>
              <w:rPr>
                <w:sz w:val="16"/>
              </w:rPr>
              <w:t>4</w:t>
            </w:r>
          </w:p>
        </w:tc>
        <w:tc>
          <w:tcPr>
            <w:tcW w:type="dxa" w:w="1417"/>
            <w:shd w:val="clear" w:color="auto" w:fill="EBF3FA"/>
          </w:tcPr>
          <w:p>
            <w:pPr>
              <w:jc w:val="center"/>
            </w:pPr>
            <w:r>
              <w:rPr>
                <w:sz w:val="16"/>
              </w:rPr>
              <w:t>Climatisation réversible</w:t>
            </w:r>
          </w:p>
        </w:tc>
        <w:tc>
          <w:tcPr>
            <w:tcW w:type="dxa" w:w="1417"/>
            <w:shd w:val="clear" w:color="auto" w:fill="EBF3FA"/>
          </w:tcPr>
          <w:p>
            <w:pPr>
              <w:jc w:val="center"/>
            </w:pPr>
            <w:r>
              <w:rPr>
                <w:sz w:val="16"/>
              </w:rPr>
              <w:t>Daikin FTXZ50N</w:t>
            </w:r>
          </w:p>
        </w:tc>
        <w:tc>
          <w:tcPr>
            <w:tcW w:type="dxa" w:w="1134"/>
            <w:shd w:val="clear" w:color="auto" w:fill="EBF3FA"/>
          </w:tcPr>
          <w:p>
            <w:pPr>
              <w:jc w:val="center"/>
            </w:pPr>
            <w:r>
              <w:rPr>
                <w:sz w:val="16"/>
              </w:rPr>
              <w:t>Bureaux administration</w:t>
            </w:r>
          </w:p>
        </w:tc>
        <w:tc>
          <w:tcPr>
            <w:tcW w:type="dxa" w:w="1134"/>
            <w:shd w:val="clear" w:color="auto" w:fill="EBF3FA"/>
          </w:tcPr>
          <w:p>
            <w:pPr>
              <w:jc w:val="center"/>
            </w:pPr>
            <w:r>
              <w:rPr>
                <w:sz w:val="16"/>
              </w:rPr>
              <w:t>R-410A</w:t>
            </w:r>
          </w:p>
        </w:tc>
        <w:tc>
          <w:tcPr>
            <w:tcW w:type="dxa" w:w="850"/>
            <w:shd w:val="clear" w:color="auto" w:fill="EBF3FA"/>
          </w:tcPr>
          <w:p>
            <w:pPr>
              <w:jc w:val="center"/>
            </w:pPr>
            <w:r>
              <w:rPr>
                <w:sz w:val="16"/>
              </w:rPr>
              <w:t>2,4</w:t>
            </w:r>
          </w:p>
        </w:tc>
        <w:tc>
          <w:tcPr>
            <w:tcW w:type="dxa" w:w="737"/>
            <w:shd w:val="clear" w:color="auto" w:fill="EBF3FA"/>
          </w:tcPr>
          <w:p>
            <w:pPr>
              <w:jc w:val="center"/>
            </w:pPr>
            <w:r>
              <w:rPr>
                <w:sz w:val="16"/>
              </w:rPr>
              <w:t>2 088</w:t>
            </w:r>
          </w:p>
        </w:tc>
        <w:tc>
          <w:tcPr>
            <w:tcW w:type="dxa" w:w="850"/>
            <w:shd w:val="clear" w:color="auto" w:fill="EBF3FA"/>
          </w:tcPr>
          <w:p>
            <w:pPr>
              <w:jc w:val="center"/>
            </w:pPr>
            <w:r>
              <w:rPr>
                <w:sz w:val="16"/>
              </w:rPr>
              <w:t>5,01</w:t>
            </w:r>
          </w:p>
        </w:tc>
        <w:tc>
          <w:tcPr>
            <w:tcW w:type="dxa" w:w="680"/>
            <w:shd w:val="clear" w:color="auto" w:fill="EBF3FA"/>
          </w:tcPr>
          <w:p>
            <w:pPr>
              <w:jc w:val="center"/>
            </w:pPr>
            <w:r>
              <w:rPr>
                <w:sz w:val="16"/>
              </w:rPr>
              <w:t>—</w:t>
            </w:r>
          </w:p>
        </w:tc>
      </w:tr>
      <w:tr>
        <w:tc>
          <w:tcPr>
            <w:tcW w:type="dxa" w:w="283"/>
            <w:shd w:val="clear" w:color="auto" w:fill="FFFFFF"/>
          </w:tcPr>
          <w:p>
            <w:pPr>
              <w:jc w:val="center"/>
            </w:pPr>
            <w:r>
              <w:rPr>
                <w:sz w:val="16"/>
              </w:rPr>
              <w:t>5</w:t>
            </w:r>
          </w:p>
        </w:tc>
        <w:tc>
          <w:tcPr>
            <w:tcW w:type="dxa" w:w="1417"/>
            <w:shd w:val="clear" w:color="auto" w:fill="FFFFFF"/>
          </w:tcPr>
          <w:p>
            <w:pPr>
              <w:jc w:val="center"/>
            </w:pPr>
            <w:r>
              <w:rPr>
                <w:sz w:val="16"/>
              </w:rPr>
              <w:t>Climatisation réversible</w:t>
            </w:r>
          </w:p>
        </w:tc>
        <w:tc>
          <w:tcPr>
            <w:tcW w:type="dxa" w:w="1417"/>
            <w:shd w:val="clear" w:color="auto" w:fill="FFFFFF"/>
          </w:tcPr>
          <w:p>
            <w:pPr>
              <w:jc w:val="center"/>
            </w:pPr>
            <w:r>
              <w:rPr>
                <w:sz w:val="16"/>
              </w:rPr>
              <w:t>Daikin FTXZ35N</w:t>
            </w:r>
          </w:p>
        </w:tc>
        <w:tc>
          <w:tcPr>
            <w:tcW w:type="dxa" w:w="1134"/>
            <w:shd w:val="clear" w:color="auto" w:fill="FFFFFF"/>
          </w:tcPr>
          <w:p>
            <w:pPr>
              <w:jc w:val="center"/>
            </w:pPr>
            <w:r>
              <w:rPr>
                <w:sz w:val="16"/>
              </w:rPr>
              <w:t>Bureaux administration</w:t>
            </w:r>
          </w:p>
        </w:tc>
        <w:tc>
          <w:tcPr>
            <w:tcW w:type="dxa" w:w="1134"/>
            <w:shd w:val="clear" w:color="auto" w:fill="FFFFFF"/>
          </w:tcPr>
          <w:p>
            <w:pPr>
              <w:jc w:val="center"/>
            </w:pPr>
            <w:r>
              <w:rPr>
                <w:sz w:val="16"/>
              </w:rPr>
              <w:t>R-410A</w:t>
            </w:r>
          </w:p>
        </w:tc>
        <w:tc>
          <w:tcPr>
            <w:tcW w:type="dxa" w:w="850"/>
            <w:shd w:val="clear" w:color="auto" w:fill="FFFFFF"/>
          </w:tcPr>
          <w:p>
            <w:pPr>
              <w:jc w:val="center"/>
            </w:pPr>
            <w:r>
              <w:rPr>
                <w:sz w:val="16"/>
              </w:rPr>
              <w:t>1,8</w:t>
            </w:r>
          </w:p>
        </w:tc>
        <w:tc>
          <w:tcPr>
            <w:tcW w:type="dxa" w:w="737"/>
            <w:shd w:val="clear" w:color="auto" w:fill="FFFFFF"/>
          </w:tcPr>
          <w:p>
            <w:pPr>
              <w:jc w:val="center"/>
            </w:pPr>
            <w:r>
              <w:rPr>
                <w:sz w:val="16"/>
              </w:rPr>
              <w:t>2 088</w:t>
            </w:r>
          </w:p>
        </w:tc>
        <w:tc>
          <w:tcPr>
            <w:tcW w:type="dxa" w:w="850"/>
            <w:shd w:val="clear" w:color="auto" w:fill="FFFFFF"/>
          </w:tcPr>
          <w:p>
            <w:pPr>
              <w:jc w:val="center"/>
            </w:pPr>
            <w:r>
              <w:rPr>
                <w:sz w:val="16"/>
              </w:rPr>
              <w:t>3,76</w:t>
            </w:r>
          </w:p>
        </w:tc>
        <w:tc>
          <w:tcPr>
            <w:tcW w:type="dxa" w:w="680"/>
            <w:shd w:val="clear" w:color="auto" w:fill="FFFFFF"/>
          </w:tcPr>
          <w:p>
            <w:pPr>
              <w:jc w:val="center"/>
            </w:pPr>
            <w:r>
              <w:rPr>
                <w:sz w:val="16"/>
              </w:rPr>
              <w:t>—</w:t>
            </w:r>
          </w:p>
        </w:tc>
      </w:tr>
      <w:tr>
        <w:tc>
          <w:tcPr>
            <w:tcW w:type="dxa" w:w="283"/>
            <w:shd w:val="clear" w:color="auto" w:fill="EBF3FA"/>
          </w:tcPr>
          <w:p>
            <w:pPr>
              <w:jc w:val="center"/>
            </w:pPr>
            <w:r>
              <w:rPr>
                <w:sz w:val="16"/>
              </w:rPr>
              <w:t>6</w:t>
            </w:r>
          </w:p>
        </w:tc>
        <w:tc>
          <w:tcPr>
            <w:tcW w:type="dxa" w:w="1417"/>
            <w:shd w:val="clear" w:color="auto" w:fill="EBF3FA"/>
          </w:tcPr>
          <w:p>
            <w:pPr>
              <w:jc w:val="center"/>
            </w:pPr>
            <w:r>
              <w:rPr>
                <w:sz w:val="16"/>
              </w:rPr>
              <w:t>Climatisation split</w:t>
            </w:r>
          </w:p>
        </w:tc>
        <w:tc>
          <w:tcPr>
            <w:tcW w:type="dxa" w:w="1417"/>
            <w:shd w:val="clear" w:color="auto" w:fill="EBF3FA"/>
          </w:tcPr>
          <w:p>
            <w:pPr>
              <w:jc w:val="center"/>
            </w:pPr>
            <w:r>
              <w:rPr>
                <w:sz w:val="16"/>
              </w:rPr>
              <w:t>Daikin FTXM35R</w:t>
            </w:r>
          </w:p>
        </w:tc>
        <w:tc>
          <w:tcPr>
            <w:tcW w:type="dxa" w:w="1134"/>
            <w:shd w:val="clear" w:color="auto" w:fill="EBF3FA"/>
          </w:tcPr>
          <w:p>
            <w:pPr>
              <w:jc w:val="center"/>
            </w:pPr>
            <w:r>
              <w:rPr>
                <w:sz w:val="16"/>
              </w:rPr>
              <w:t>Contrôle qualité</w:t>
            </w:r>
          </w:p>
        </w:tc>
        <w:tc>
          <w:tcPr>
            <w:tcW w:type="dxa" w:w="1134"/>
            <w:shd w:val="clear" w:color="auto" w:fill="EBF3FA"/>
          </w:tcPr>
          <w:p>
            <w:pPr>
              <w:jc w:val="center"/>
            </w:pPr>
            <w:r>
              <w:rPr>
                <w:sz w:val="16"/>
              </w:rPr>
              <w:t>R-32</w:t>
            </w:r>
          </w:p>
        </w:tc>
        <w:tc>
          <w:tcPr>
            <w:tcW w:type="dxa" w:w="850"/>
            <w:shd w:val="clear" w:color="auto" w:fill="EBF3FA"/>
          </w:tcPr>
          <w:p>
            <w:pPr>
              <w:jc w:val="center"/>
            </w:pPr>
            <w:r>
              <w:rPr>
                <w:sz w:val="16"/>
              </w:rPr>
              <w:t>1,2</w:t>
            </w:r>
          </w:p>
        </w:tc>
        <w:tc>
          <w:tcPr>
            <w:tcW w:type="dxa" w:w="737"/>
            <w:shd w:val="clear" w:color="auto" w:fill="EBF3FA"/>
          </w:tcPr>
          <w:p>
            <w:pPr>
              <w:jc w:val="center"/>
            </w:pPr>
            <w:r>
              <w:rPr>
                <w:sz w:val="16"/>
              </w:rPr>
              <w:t>675</w:t>
            </w:r>
          </w:p>
        </w:tc>
        <w:tc>
          <w:tcPr>
            <w:tcW w:type="dxa" w:w="850"/>
            <w:shd w:val="clear" w:color="auto" w:fill="EBF3FA"/>
          </w:tcPr>
          <w:p>
            <w:pPr>
              <w:jc w:val="center"/>
            </w:pPr>
            <w:r>
              <w:rPr>
                <w:sz w:val="16"/>
              </w:rPr>
              <w:t>0,81</w:t>
            </w:r>
          </w:p>
        </w:tc>
        <w:tc>
          <w:tcPr>
            <w:tcW w:type="dxa" w:w="680"/>
            <w:shd w:val="clear" w:color="auto" w:fill="EBF3FA"/>
          </w:tcPr>
          <w:p>
            <w:pPr>
              <w:jc w:val="center"/>
            </w:pPr>
            <w:r>
              <w:rPr>
                <w:sz w:val="16"/>
              </w:rPr>
              <w:t>—</w:t>
            </w:r>
          </w:p>
        </w:tc>
      </w:tr>
      <w:tr>
        <w:tc>
          <w:tcPr>
            <w:tcW w:type="dxa" w:w="5385"/>
            <w:gridSpan w:val="5"/>
            <w:shd w:val="clear" w:color="auto" w:fill="EBF3FA"/>
          </w:tcPr>
          <w:p>
            <w:pPr>
              <w:jc w:val="center"/>
            </w:pPr>
            <w:r>
              <w:rPr>
                <w:b/>
                <w:sz w:val="16"/>
              </w:rPr>
              <w:t>TOTAL</w:t>
            </w:r>
          </w:p>
        </w:tc>
        <w:tc>
          <w:tcPr>
            <w:tcW w:type="dxa" w:w="850"/>
            <w:shd w:val="clear" w:color="auto" w:fill="EBF3FA"/>
          </w:tcPr>
          <w:p>
            <w:r>
              <w:rPr>
                <w:b/>
                <w:sz w:val="16"/>
              </w:rPr>
              <w:t>11,1</w:t>
            </w:r>
          </w:p>
        </w:tc>
        <w:tc>
          <w:tcPr>
            <w:tcW w:type="dxa" w:w="737"/>
            <w:shd w:val="clear" w:color="auto" w:fill="EBF3FA"/>
          </w:tcPr>
          <w:p/>
        </w:tc>
        <w:tc>
          <w:tcPr>
            <w:tcW w:type="dxa" w:w="850"/>
            <w:shd w:val="clear" w:color="auto" w:fill="EBF3FA"/>
          </w:tcPr>
          <w:p>
            <w:r>
              <w:rPr>
                <w:b/>
                <w:sz w:val="16"/>
              </w:rPr>
              <w:t>15,92</w:t>
            </w:r>
          </w:p>
        </w:tc>
        <w:tc>
          <w:tcPr>
            <w:tcW w:type="dxa" w:w="680"/>
            <w:shd w:val="clear" w:color="auto" w:fill="EBF3FA"/>
          </w:tcPr>
          <w:p/>
        </w:tc>
      </w:tr>
    </w:tbl>
    <w:p/>
    <w:p>
      <w:pPr>
        <w:shd w:val="clear" w:color="auto" w:fill="EBF3FA"/>
        <w:spacing w:before="80" w:after="80"/>
        <w:ind w:left="120"/>
      </w:pPr>
      <w:r>
        <w:rPr>
          <w:b/>
          <w:color w:val="1F4E79"/>
          <w:sz w:val="16"/>
        </w:rPr>
        <w:t>Seuils réglementaires EU 517/2014 :</w:t>
      </w:r>
      <w:r>
        <w:br/>
      </w:r>
      <w:r>
        <w:rPr>
          <w:i/>
          <w:color w:val="555555"/>
          <w:sz w:val="16"/>
        </w:rPr>
        <w:t>• &lt; 5 t eq.CO₂ : exempt de contrôle d'étanchéité</w:t>
      </w:r>
      <w:r>
        <w:br/>
      </w:r>
      <w:r>
        <w:rPr>
          <w:i/>
          <w:color w:val="555555"/>
          <w:sz w:val="16"/>
        </w:rPr>
        <w:t>• 5 à 50 t eq.CO₂ : contrôle annuel obligatoire</w:t>
      </w:r>
      <w:r>
        <w:br/>
      </w:r>
      <w:r>
        <w:rPr>
          <w:i/>
          <w:color w:val="555555"/>
          <w:sz w:val="16"/>
        </w:rPr>
        <w:t>• 50 à 500 t eq.CO₂ : contrôle semestriel obligatoire</w:t>
      </w:r>
      <w:r>
        <w:br/>
      </w:r>
      <w:r>
        <w:rPr>
          <w:i/>
          <w:color w:val="555555"/>
          <w:sz w:val="16"/>
        </w:rPr>
        <w:t>• ≥ 500 t eq.CO₂ : détecteur de fuite permanent obligatoire</w:t>
      </w:r>
    </w:p>
    <w:p>
      <w:r>
        <w:br w:type="page"/>
      </w:r>
    </w:p>
    <w:p>
      <w:pPr>
        <w:spacing w:before="0" w:after="80"/>
        <w:pBdr>
          <w:left w:val="single" w:sz="24" w:space="4" w:color="1F4E79"/>
        </w:pBdr>
        <w:shd w:val="clear" w:color="auto" w:fill="EBF3FA"/>
      </w:pPr>
      <w:r>
        <w:rPr>
          <w:b/>
          <w:color w:val="FFFFFF"/>
          <w:sz w:val="26"/>
          <w:shd w:val="clear" w:color="auto" w:fill="1F4E79"/>
        </w:rPr>
        <w:t xml:space="preserve">  5.  </w:t>
      </w:r>
      <w:r>
        <w:rPr>
          <w:b/>
          <w:color w:val="1F4E79"/>
          <w:sz w:val="26"/>
        </w:rPr>
        <w:t xml:space="preserve"> Analyse de vétusté &amp; criticité</w:t>
      </w:r>
    </w:p>
    <w:p>
      <w:pPr>
        <w:spacing w:after="120"/>
      </w:pPr>
      <w:r>
        <w:rPr>
          <w:color w:val="555555"/>
          <w:sz w:val="20"/>
        </w:rPr>
        <w:t>Cette analyse identifie les équipements les plus anciens du parc et estime le gain énergétique d'un remplacement par un matériel neuf plus performant : 5 % pour les équipements de 10 à 15 ans, 10 % pour 15 à 20 ans, 15 % au-delà de 20 ans. Ces ordres de grandeur sont indicatifs et doivent être affinés lors du diagnostic terrain.</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Âge moyen du parc</w:t>
            </w:r>
          </w:p>
          <w:p>
            <w:pPr>
              <w:spacing w:before="0" w:after="40"/>
              <w:ind w:left="120"/>
            </w:pPr>
            <w:r>
              <w:rPr>
                <w:b/>
                <w:color w:val="1F4E79"/>
                <w:sz w:val="30"/>
              </w:rPr>
              <w:t>12,5</w:t>
            </w:r>
            <w:r>
              <w:rPr>
                <w:color w:val="555555"/>
                <w:sz w:val="16"/>
              </w:rPr>
              <w:t xml:space="preserve"> ans</w:t>
            </w:r>
          </w:p>
        </w:tc>
        <w:tc>
          <w:tcPr>
            <w:tcW w:type="dxa" w:w="2422"/>
            <w:shd w:val="clear" w:color="auto" w:fill="EBF3FA"/>
            <w:tcBdr>
              <w:top w:val="single" w:sz="12" w:color="2E5F8A"/>
            </w:tcBdr>
          </w:tcPr>
          <w:p>
            <w:pPr>
              <w:spacing w:before="80" w:after="0"/>
              <w:ind w:left="120"/>
            </w:pPr>
            <w:r>
              <w:rPr>
                <w:color w:val="555555"/>
                <w:sz w:val="16"/>
              </w:rPr>
              <w:t>Équipements ≥ 15 ans</w:t>
            </w:r>
          </w:p>
          <w:p>
            <w:pPr>
              <w:spacing w:before="0" w:after="40"/>
              <w:ind w:left="120"/>
            </w:pPr>
            <w:r>
              <w:rPr>
                <w:b/>
                <w:color w:val="2E5F8A"/>
                <w:sz w:val="30"/>
              </w:rPr>
              <w:t>18</w:t>
            </w:r>
            <w:r>
              <w:rPr>
                <w:color w:val="555555"/>
                <w:sz w:val="16"/>
              </w:rPr>
              <w:t xml:space="preserve"> / 46</w:t>
            </w:r>
          </w:p>
        </w:tc>
        <w:tc>
          <w:tcPr>
            <w:tcW w:type="dxa" w:w="2422"/>
            <w:shd w:val="clear" w:color="auto" w:fill="EBF3FA"/>
            <w:tcBdr>
              <w:top w:val="single" w:sz="12" w:color="C45A00"/>
            </w:tcBdr>
          </w:tcPr>
          <w:p>
            <w:pPr>
              <w:spacing w:before="80" w:after="0"/>
              <w:ind w:left="120"/>
            </w:pPr>
            <w:r>
              <w:rPr>
                <w:color w:val="555555"/>
                <w:sz w:val="16"/>
              </w:rPr>
              <w:t>Équipements ≥ 20 ans</w:t>
            </w:r>
          </w:p>
          <w:p>
            <w:pPr>
              <w:spacing w:before="0" w:after="40"/>
              <w:ind w:left="120"/>
            </w:pPr>
            <w:r>
              <w:rPr>
                <w:b/>
                <w:color w:val="C45A00"/>
                <w:sz w:val="30"/>
              </w:rPr>
              <w:t>7</w:t>
            </w:r>
            <w:r>
              <w:rPr>
                <w:color w:val="555555"/>
                <w:sz w:val="16"/>
              </w:rPr>
              <w:t xml:space="preserve"> / 46</w:t>
            </w:r>
          </w:p>
        </w:tc>
        <w:tc>
          <w:tcPr>
            <w:tcW w:type="dxa" w:w="2422"/>
            <w:shd w:val="clear" w:color="auto" w:fill="EBF3FA"/>
            <w:tcBdr>
              <w:top w:val="single" w:sz="12" w:color="1A7A45"/>
            </w:tcBdr>
          </w:tcPr>
          <w:p>
            <w:pPr>
              <w:spacing w:before="80" w:after="0"/>
              <w:ind w:left="120"/>
            </w:pPr>
            <w:r>
              <w:rPr>
                <w:color w:val="555555"/>
                <w:sz w:val="16"/>
              </w:rPr>
              <w:t>Conso. concernée (≥15 ans)</w:t>
            </w:r>
          </w:p>
          <w:p>
            <w:pPr>
              <w:spacing w:before="0" w:after="40"/>
              <w:ind w:left="120"/>
            </w:pPr>
            <w:r>
              <w:rPr>
                <w:b/>
                <w:color w:val="1A7A45"/>
                <w:sz w:val="30"/>
              </w:rPr>
              <w:t>66,4</w:t>
            </w:r>
            <w:r>
              <w:rPr>
                <w:color w:val="555555"/>
                <w:sz w:val="16"/>
              </w:rPr>
              <w:t xml:space="preserve"> %</w:t>
            </w:r>
          </w:p>
        </w:tc>
      </w:tr>
    </w:tbl>
    <w:p>
      <w:pPr>
        <w:spacing w:after="80"/>
      </w:pPr>
    </w:p>
    <w:tbl>
      <w:tblPr>
        <w:tblStyle w:val="TableGrid"/>
        <w:tblW w:type="auto" w:w="0"/>
        <w:tblLook w:firstColumn="1" w:firstRow="1" w:lastColumn="0" w:lastRow="0" w:noHBand="0" w:noVBand="1" w:val="04A0"/>
        <w:tblW w:w="8789" w:type="dxa"/>
        <w:tblLayout w:type="fixed"/>
      </w:tblPr>
      <w:tblGrid>
        <w:gridCol w:w="1077"/>
        <w:gridCol w:w="1077"/>
        <w:gridCol w:w="1077"/>
        <w:gridCol w:w="1077"/>
        <w:gridCol w:w="1077"/>
        <w:gridCol w:w="1077"/>
        <w:gridCol w:w="1077"/>
        <w:gridCol w:w="1077"/>
        <w:gridCol w:w="1077"/>
      </w:tblGrid>
      <w:tr>
        <w:tc>
          <w:tcPr>
            <w:tcW w:type="dxa" w:w="227"/>
            <w:shd w:val="clear" w:color="auto" w:fill="1F4E79"/>
          </w:tcPr>
          <w:p>
            <w:pPr>
              <w:jc w:val="center"/>
            </w:pPr>
            <w:r>
              <w:rPr>
                <w:b/>
                <w:color w:val="FFFFFF"/>
                <w:sz w:val="14"/>
              </w:rPr>
              <w:t>#</w:t>
            </w:r>
          </w:p>
        </w:tc>
        <w:tc>
          <w:tcPr>
            <w:tcW w:type="dxa" w:w="1587"/>
            <w:shd w:val="clear" w:color="auto" w:fill="1F4E79"/>
          </w:tcPr>
          <w:p>
            <w:pPr>
              <w:jc w:val="center"/>
            </w:pPr>
            <w:r>
              <w:rPr>
                <w:b/>
                <w:color w:val="FFFFFF"/>
                <w:sz w:val="14"/>
              </w:rPr>
              <w:t>Équipement</w:t>
            </w:r>
          </w:p>
        </w:tc>
        <w:tc>
          <w:tcPr>
            <w:tcW w:type="dxa" w:w="850"/>
            <w:shd w:val="clear" w:color="auto" w:fill="1F4E79"/>
          </w:tcPr>
          <w:p>
            <w:pPr>
              <w:jc w:val="center"/>
            </w:pPr>
            <w:r>
              <w:rPr>
                <w:b/>
                <w:color w:val="FFFFFF"/>
                <w:sz w:val="14"/>
              </w:rPr>
              <w:t>Zone</w:t>
            </w:r>
          </w:p>
        </w:tc>
        <w:tc>
          <w:tcPr>
            <w:tcW w:type="dxa" w:w="850"/>
            <w:shd w:val="clear" w:color="auto" w:fill="1F4E79"/>
          </w:tcPr>
          <w:p>
            <w:pPr>
              <w:jc w:val="center"/>
            </w:pPr>
            <w:r>
              <w:rPr>
                <w:b/>
                <w:color w:val="FFFFFF"/>
                <w:sz w:val="14"/>
              </w:rPr>
              <w:t>Année / Âge</w:t>
            </w:r>
          </w:p>
        </w:tc>
        <w:tc>
          <w:tcPr>
            <w:tcW w:type="dxa" w:w="737"/>
            <w:shd w:val="clear" w:color="auto" w:fill="1F4E79"/>
          </w:tcPr>
          <w:p>
            <w:pPr>
              <w:jc w:val="center"/>
            </w:pPr>
            <w:r>
              <w:rPr>
                <w:b/>
                <w:color w:val="FFFFFF"/>
                <w:sz w:val="14"/>
              </w:rPr>
              <w:t>État</w:t>
            </w:r>
          </w:p>
        </w:tc>
        <w:tc>
          <w:tcPr>
            <w:tcW w:type="dxa" w:w="794"/>
            <w:shd w:val="clear" w:color="auto" w:fill="1F4E79"/>
          </w:tcPr>
          <w:p>
            <w:pPr>
              <w:jc w:val="center"/>
            </w:pPr>
            <w:r>
              <w:rPr>
                <w:b/>
                <w:color w:val="FFFFFF"/>
                <w:sz w:val="14"/>
              </w:rPr>
              <w:t>Conso.</w:t>
            </w:r>
          </w:p>
        </w:tc>
        <w:tc>
          <w:tcPr>
            <w:tcW w:type="dxa" w:w="907"/>
            <w:shd w:val="clear" w:color="auto" w:fill="1F4E79"/>
          </w:tcPr>
          <w:p>
            <w:pPr>
              <w:jc w:val="center"/>
            </w:pPr>
            <w:r>
              <w:rPr>
                <w:b/>
                <w:color w:val="FFFFFF"/>
                <w:sz w:val="14"/>
              </w:rPr>
              <w:t>Gain estimé</w:t>
            </w:r>
          </w:p>
        </w:tc>
        <w:tc>
          <w:tcPr>
            <w:tcW w:type="dxa" w:w="794"/>
            <w:shd w:val="clear" w:color="auto" w:fill="1F4E79"/>
          </w:tcPr>
          <w:p>
            <w:pPr>
              <w:jc w:val="center"/>
            </w:pPr>
            <w:r>
              <w:rPr>
                <w:b/>
                <w:color w:val="FFFFFF"/>
                <w:sz w:val="14"/>
              </w:rPr>
              <w:t>Économie €/an</w:t>
            </w:r>
          </w:p>
        </w:tc>
        <w:tc>
          <w:tcPr>
            <w:tcW w:type="dxa" w:w="1417"/>
            <w:shd w:val="clear" w:color="auto" w:fill="1F4E79"/>
          </w:tcPr>
          <w:p>
            <w:pPr>
              <w:jc w:val="center"/>
            </w:pPr>
            <w:r>
              <w:rPr>
                <w:b/>
                <w:color w:val="FFFFFF"/>
                <w:sz w:val="14"/>
              </w:rPr>
              <w:t>Invest. estimé</w:t>
            </w:r>
          </w:p>
        </w:tc>
      </w:tr>
      <w:tr>
        <w:tc>
          <w:tcPr>
            <w:tcW w:type="dxa" w:w="227"/>
            <w:shd w:val="clear" w:color="auto" w:fill="FFFFFF"/>
          </w:tcPr>
          <w:p>
            <w:pPr>
              <w:jc w:val="center"/>
            </w:pPr>
            <w:r>
              <w:rPr>
                <w:sz w:val="14"/>
              </w:rPr>
              <w:t>1</w:t>
            </w:r>
          </w:p>
        </w:tc>
        <w:tc>
          <w:tcPr>
            <w:tcW w:type="dxa" w:w="1587"/>
            <w:shd w:val="clear" w:color="auto" w:fill="FFFFFF"/>
          </w:tcPr>
          <w:p>
            <w:pPr>
              <w:spacing w:before="20" w:after="0"/>
            </w:pPr>
            <w:r>
              <w:rPr>
                <w:b/>
                <w:sz w:val="16"/>
              </w:rPr>
              <w:t>Four à induction</w:t>
            </w:r>
          </w:p>
          <w:p>
            <w:pPr>
              <w:spacing w:before="0" w:after="20"/>
            </w:pPr>
            <w:r>
              <w:rPr>
                <w:i/>
                <w:color w:val="555555"/>
                <w:sz w:val="14"/>
              </w:rPr>
              <w:t>ABP Induction IFM 2000</w:t>
            </w:r>
          </w:p>
        </w:tc>
        <w:tc>
          <w:tcPr>
            <w:tcW w:type="dxa" w:w="850"/>
            <w:shd w:val="clear" w:color="auto" w:fill="FFFFFF"/>
          </w:tcPr>
          <w:p>
            <w:pPr>
              <w:jc w:val="center"/>
            </w:pPr>
            <w:r>
              <w:rPr>
                <w:sz w:val="14"/>
              </w:rPr>
              <w:t>Hall de fusion</w:t>
            </w:r>
          </w:p>
        </w:tc>
        <w:tc>
          <w:tcPr>
            <w:tcW w:type="dxa" w:w="850"/>
            <w:shd w:val="clear" w:color="auto" w:fill="FFFFFF"/>
          </w:tcPr>
          <w:p>
            <w:pPr>
              <w:jc w:val="center"/>
            </w:pPr>
            <w:r>
              <w:rPr>
                <w:sz w:val="14"/>
              </w:rPr>
              <w:t>2008 (18 ans)</w:t>
            </w:r>
          </w:p>
        </w:tc>
        <w:tc>
          <w:tcPr>
            <w:tcW w:type="dxa" w:w="737"/>
            <w:shd w:val="clear" w:color="auto" w:fill="FFFFFF"/>
          </w:tcPr>
          <w:p>
            <w:pPr>
              <w:jc w:val="center"/>
            </w:pPr>
            <w:r>
              <w:rPr>
                <w:color w:val="C45A00"/>
                <w:sz w:val="14"/>
              </w:rPr>
              <w:t>🟠 Vétuste</w:t>
            </w:r>
          </w:p>
        </w:tc>
        <w:tc>
          <w:tcPr>
            <w:tcW w:type="dxa" w:w="794"/>
            <w:shd w:val="clear" w:color="auto" w:fill="FFFFFF"/>
          </w:tcPr>
          <w:p>
            <w:pPr>
              <w:jc w:val="center"/>
            </w:pPr>
            <w:r>
              <w:rPr>
                <w:sz w:val="14"/>
              </w:rPr>
              <w:t>3 550 000 kWh</w:t>
            </w:r>
          </w:p>
        </w:tc>
        <w:tc>
          <w:tcPr>
            <w:tcW w:type="dxa" w:w="907"/>
            <w:shd w:val="clear" w:color="auto" w:fill="FFFFFF"/>
          </w:tcPr>
          <w:p>
            <w:pPr>
              <w:jc w:val="center"/>
            </w:pPr>
            <w:r>
              <w:rPr>
                <w:sz w:val="14"/>
              </w:rPr>
              <w:t>10 % → 355 000 kWh</w:t>
            </w:r>
          </w:p>
        </w:tc>
        <w:tc>
          <w:tcPr>
            <w:tcW w:type="dxa" w:w="794"/>
            <w:shd w:val="clear" w:color="auto" w:fill="FFFFFF"/>
          </w:tcPr>
          <w:p>
            <w:pPr>
              <w:jc w:val="center"/>
            </w:pPr>
            <w:r>
              <w:rPr>
                <w:color w:val="1A7A45"/>
                <w:sz w:val="14"/>
              </w:rPr>
              <w:t>30 530 €</w:t>
            </w:r>
          </w:p>
        </w:tc>
        <w:tc>
          <w:tcPr>
            <w:tcW w:type="dxa" w:w="1417"/>
            <w:shd w:val="clear" w:color="auto" w:fill="FFFFFF"/>
          </w:tcPr>
          <w:p>
            <w:pPr>
              <w:jc w:val="center"/>
            </w:pPr>
            <w:r>
              <w:rPr>
                <w:sz w:val="14"/>
              </w:rPr>
              <w:t>400 000 — 1 250 000 €</w:t>
            </w:r>
          </w:p>
        </w:tc>
      </w:tr>
      <w:tr>
        <w:tc>
          <w:tcPr>
            <w:tcW w:type="dxa" w:w="227"/>
            <w:shd w:val="clear" w:color="auto" w:fill="EBF3FA"/>
          </w:tcPr>
          <w:p>
            <w:pPr>
              <w:jc w:val="center"/>
            </w:pPr>
            <w:r>
              <w:rPr>
                <w:sz w:val="14"/>
              </w:rPr>
              <w:t>2</w:t>
            </w:r>
          </w:p>
        </w:tc>
        <w:tc>
          <w:tcPr>
            <w:tcW w:type="dxa" w:w="1587"/>
            <w:shd w:val="clear" w:color="auto" w:fill="EBF3FA"/>
          </w:tcPr>
          <w:p>
            <w:pPr>
              <w:spacing w:before="20" w:after="0"/>
            </w:pPr>
            <w:r>
              <w:rPr>
                <w:b/>
                <w:sz w:val="16"/>
              </w:rPr>
              <w:t>Chaudière gaz</w:t>
            </w:r>
          </w:p>
          <w:p>
            <w:pPr>
              <w:spacing w:before="0" w:after="20"/>
            </w:pPr>
            <w:r>
              <w:rPr>
                <w:i/>
                <w:color w:val="555555"/>
                <w:sz w:val="14"/>
              </w:rPr>
              <w:t>De Dietrich GT 330</w:t>
            </w:r>
          </w:p>
        </w:tc>
        <w:tc>
          <w:tcPr>
            <w:tcW w:type="dxa" w:w="850"/>
            <w:shd w:val="clear" w:color="auto" w:fill="EBF3FA"/>
          </w:tcPr>
          <w:p>
            <w:pPr>
              <w:jc w:val="center"/>
            </w:pPr>
            <w:r>
              <w:rPr>
                <w:sz w:val="14"/>
              </w:rPr>
              <w:t>Chaufferie</w:t>
            </w:r>
          </w:p>
        </w:tc>
        <w:tc>
          <w:tcPr>
            <w:tcW w:type="dxa" w:w="850"/>
            <w:shd w:val="clear" w:color="auto" w:fill="EBF3FA"/>
          </w:tcPr>
          <w:p>
            <w:pPr>
              <w:jc w:val="center"/>
            </w:pPr>
            <w:r>
              <w:rPr>
                <w:sz w:val="14"/>
              </w:rPr>
              <w:t>2004 (22 ans)</w:t>
            </w:r>
          </w:p>
        </w:tc>
        <w:tc>
          <w:tcPr>
            <w:tcW w:type="dxa" w:w="737"/>
            <w:shd w:val="clear" w:color="auto" w:fill="EBF3FA"/>
          </w:tcPr>
          <w:p>
            <w:pPr>
              <w:jc w:val="center"/>
            </w:pPr>
            <w:r>
              <w:rPr>
                <w:color w:val="C0392B"/>
                <w:sz w:val="14"/>
              </w:rPr>
              <w:t>🔴 Très vétuste</w:t>
            </w:r>
          </w:p>
        </w:tc>
        <w:tc>
          <w:tcPr>
            <w:tcW w:type="dxa" w:w="794"/>
            <w:shd w:val="clear" w:color="auto" w:fill="EBF3FA"/>
          </w:tcPr>
          <w:p>
            <w:pPr>
              <w:jc w:val="center"/>
            </w:pPr>
            <w:r>
              <w:rPr>
                <w:sz w:val="14"/>
              </w:rPr>
              <w:t>1 750 000 kWh</w:t>
            </w:r>
          </w:p>
        </w:tc>
        <w:tc>
          <w:tcPr>
            <w:tcW w:type="dxa" w:w="907"/>
            <w:shd w:val="clear" w:color="auto" w:fill="EBF3FA"/>
          </w:tcPr>
          <w:p>
            <w:pPr>
              <w:jc w:val="center"/>
            </w:pPr>
            <w:r>
              <w:rPr>
                <w:sz w:val="14"/>
              </w:rPr>
              <w:t>15 % → 262 500 kWh</w:t>
            </w:r>
          </w:p>
        </w:tc>
        <w:tc>
          <w:tcPr>
            <w:tcW w:type="dxa" w:w="794"/>
            <w:shd w:val="clear" w:color="auto" w:fill="EBF3FA"/>
          </w:tcPr>
          <w:p>
            <w:pPr>
              <w:jc w:val="center"/>
            </w:pPr>
            <w:r>
              <w:rPr>
                <w:color w:val="1A7A45"/>
                <w:sz w:val="14"/>
              </w:rPr>
              <w:t>22 575 €</w:t>
            </w:r>
          </w:p>
        </w:tc>
        <w:tc>
          <w:tcPr>
            <w:tcW w:type="dxa" w:w="1417"/>
            <w:shd w:val="clear" w:color="auto" w:fill="EBF3FA"/>
          </w:tcPr>
          <w:p>
            <w:pPr>
              <w:jc w:val="center"/>
            </w:pPr>
            <w:r>
              <w:rPr>
                <w:sz w:val="14"/>
              </w:rPr>
              <w:t>210 000 — 420 000 €</w:t>
            </w:r>
          </w:p>
        </w:tc>
      </w:tr>
      <w:tr>
        <w:tc>
          <w:tcPr>
            <w:tcW w:type="dxa" w:w="227"/>
            <w:shd w:val="clear" w:color="auto" w:fill="FFFFFF"/>
          </w:tcPr>
          <w:p>
            <w:pPr>
              <w:jc w:val="center"/>
            </w:pPr>
            <w:r>
              <w:rPr>
                <w:sz w:val="14"/>
              </w:rPr>
              <w:t>3</w:t>
            </w:r>
          </w:p>
        </w:tc>
        <w:tc>
          <w:tcPr>
            <w:tcW w:type="dxa" w:w="1587"/>
            <w:shd w:val="clear" w:color="auto" w:fill="FFFFFF"/>
          </w:tcPr>
          <w:p>
            <w:pPr>
              <w:spacing w:before="20" w:after="0"/>
            </w:pPr>
            <w:r>
              <w:rPr>
                <w:b/>
                <w:sz w:val="16"/>
              </w:rPr>
              <w:t>Brûleur gaz</w:t>
            </w:r>
          </w:p>
          <w:p>
            <w:pPr>
              <w:spacing w:before="0" w:after="20"/>
            </w:pPr>
            <w:r>
              <w:rPr>
                <w:i/>
                <w:color w:val="555555"/>
                <w:sz w:val="14"/>
              </w:rPr>
              <w:t>Weishaupt WG30N</w:t>
            </w:r>
          </w:p>
        </w:tc>
        <w:tc>
          <w:tcPr>
            <w:tcW w:type="dxa" w:w="850"/>
            <w:shd w:val="clear" w:color="auto" w:fill="FFFFFF"/>
          </w:tcPr>
          <w:p>
            <w:pPr>
              <w:jc w:val="center"/>
            </w:pPr>
            <w:r>
              <w:rPr>
                <w:sz w:val="14"/>
              </w:rPr>
              <w:t>Chaufferie</w:t>
            </w:r>
          </w:p>
        </w:tc>
        <w:tc>
          <w:tcPr>
            <w:tcW w:type="dxa" w:w="850"/>
            <w:shd w:val="clear" w:color="auto" w:fill="FFFFFF"/>
          </w:tcPr>
          <w:p>
            <w:pPr>
              <w:jc w:val="center"/>
            </w:pPr>
            <w:r>
              <w:rPr>
                <w:sz w:val="14"/>
              </w:rPr>
              <w:t>2004 (22 ans)</w:t>
            </w:r>
          </w:p>
        </w:tc>
        <w:tc>
          <w:tcPr>
            <w:tcW w:type="dxa" w:w="737"/>
            <w:shd w:val="clear" w:color="auto" w:fill="FFFFFF"/>
          </w:tcPr>
          <w:p>
            <w:pPr>
              <w:jc w:val="center"/>
            </w:pPr>
            <w:r>
              <w:rPr>
                <w:color w:val="C0392B"/>
                <w:sz w:val="14"/>
              </w:rPr>
              <w:t>🔴 Très vétuste</w:t>
            </w:r>
          </w:p>
        </w:tc>
        <w:tc>
          <w:tcPr>
            <w:tcW w:type="dxa" w:w="794"/>
            <w:shd w:val="clear" w:color="auto" w:fill="FFFFFF"/>
          </w:tcPr>
          <w:p>
            <w:pPr>
              <w:jc w:val="center"/>
            </w:pPr>
            <w:r>
              <w:rPr>
                <w:sz w:val="14"/>
              </w:rPr>
              <w:t>900 000 kWh</w:t>
            </w:r>
          </w:p>
        </w:tc>
        <w:tc>
          <w:tcPr>
            <w:tcW w:type="dxa" w:w="907"/>
            <w:shd w:val="clear" w:color="auto" w:fill="FFFFFF"/>
          </w:tcPr>
          <w:p>
            <w:pPr>
              <w:jc w:val="center"/>
            </w:pPr>
            <w:r>
              <w:rPr>
                <w:sz w:val="14"/>
              </w:rPr>
              <w:t>15 % → 135 000 kWh</w:t>
            </w:r>
          </w:p>
        </w:tc>
        <w:tc>
          <w:tcPr>
            <w:tcW w:type="dxa" w:w="794"/>
            <w:shd w:val="clear" w:color="auto" w:fill="FFFFFF"/>
          </w:tcPr>
          <w:p>
            <w:pPr>
              <w:jc w:val="center"/>
            </w:pPr>
            <w:r>
              <w:rPr>
                <w:color w:val="1A7A45"/>
                <w:sz w:val="14"/>
              </w:rPr>
              <w:t>11 610 €</w:t>
            </w:r>
          </w:p>
        </w:tc>
        <w:tc>
          <w:tcPr>
            <w:tcW w:type="dxa" w:w="1417"/>
            <w:shd w:val="clear" w:color="auto" w:fill="FFFFFF"/>
          </w:tcPr>
          <w:p>
            <w:pPr>
              <w:jc w:val="center"/>
            </w:pPr>
            <w:r>
              <w:rPr>
                <w:sz w:val="14"/>
              </w:rPr>
              <w:t>80 000 — 180 000 €</w:t>
            </w:r>
          </w:p>
        </w:tc>
      </w:tr>
      <w:tr>
        <w:tc>
          <w:tcPr>
            <w:tcW w:type="dxa" w:w="227"/>
            <w:shd w:val="clear" w:color="auto" w:fill="EBF3FA"/>
          </w:tcPr>
          <w:p>
            <w:pPr>
              <w:jc w:val="center"/>
            </w:pPr>
            <w:r>
              <w:rPr>
                <w:sz w:val="14"/>
              </w:rPr>
              <w:t>4</w:t>
            </w:r>
          </w:p>
        </w:tc>
        <w:tc>
          <w:tcPr>
            <w:tcW w:type="dxa" w:w="1587"/>
            <w:shd w:val="clear" w:color="auto" w:fill="EBF3FA"/>
          </w:tcPr>
          <w:p>
            <w:pPr>
              <w:spacing w:before="20" w:after="0"/>
            </w:pPr>
            <w:r>
              <w:rPr>
                <w:b/>
                <w:sz w:val="16"/>
              </w:rPr>
              <w:t>Four à induction</w:t>
            </w:r>
          </w:p>
          <w:p>
            <w:pPr>
              <w:spacing w:before="0" w:after="20"/>
            </w:pPr>
            <w:r>
              <w:rPr>
                <w:i/>
                <w:color w:val="555555"/>
                <w:sz w:val="14"/>
              </w:rPr>
              <w:t>ABP Induction IFM 1000</w:t>
            </w:r>
          </w:p>
        </w:tc>
        <w:tc>
          <w:tcPr>
            <w:tcW w:type="dxa" w:w="850"/>
            <w:shd w:val="clear" w:color="auto" w:fill="EBF3FA"/>
          </w:tcPr>
          <w:p>
            <w:pPr>
              <w:jc w:val="center"/>
            </w:pPr>
            <w:r>
              <w:rPr>
                <w:sz w:val="14"/>
              </w:rPr>
              <w:t>Hall de fusion</w:t>
            </w:r>
          </w:p>
        </w:tc>
        <w:tc>
          <w:tcPr>
            <w:tcW w:type="dxa" w:w="850"/>
            <w:shd w:val="clear" w:color="auto" w:fill="EBF3FA"/>
          </w:tcPr>
          <w:p>
            <w:pPr>
              <w:jc w:val="center"/>
            </w:pPr>
            <w:r>
              <w:rPr>
                <w:sz w:val="14"/>
              </w:rPr>
              <w:t>2012 (14 ans)</w:t>
            </w:r>
          </w:p>
        </w:tc>
        <w:tc>
          <w:tcPr>
            <w:tcW w:type="dxa" w:w="737"/>
            <w:shd w:val="clear" w:color="auto" w:fill="EBF3FA"/>
          </w:tcPr>
          <w:p>
            <w:pPr>
              <w:jc w:val="center"/>
            </w:pPr>
            <w:r>
              <w:rPr>
                <w:sz w:val="14"/>
              </w:rPr>
              <w:t>🟡 À surveiller</w:t>
            </w:r>
          </w:p>
        </w:tc>
        <w:tc>
          <w:tcPr>
            <w:tcW w:type="dxa" w:w="794"/>
            <w:shd w:val="clear" w:color="auto" w:fill="EBF3FA"/>
          </w:tcPr>
          <w:p>
            <w:pPr>
              <w:jc w:val="center"/>
            </w:pPr>
            <w:r>
              <w:rPr>
                <w:sz w:val="14"/>
              </w:rPr>
              <w:t>1 850 000 kWh</w:t>
            </w:r>
          </w:p>
        </w:tc>
        <w:tc>
          <w:tcPr>
            <w:tcW w:type="dxa" w:w="907"/>
            <w:shd w:val="clear" w:color="auto" w:fill="EBF3FA"/>
          </w:tcPr>
          <w:p>
            <w:pPr>
              <w:jc w:val="center"/>
            </w:pPr>
            <w:r>
              <w:rPr>
                <w:sz w:val="14"/>
              </w:rPr>
              <w:t>5 % → 92 500 kWh</w:t>
            </w:r>
          </w:p>
        </w:tc>
        <w:tc>
          <w:tcPr>
            <w:tcW w:type="dxa" w:w="794"/>
            <w:shd w:val="clear" w:color="auto" w:fill="EBF3FA"/>
          </w:tcPr>
          <w:p>
            <w:pPr>
              <w:jc w:val="center"/>
            </w:pPr>
            <w:r>
              <w:rPr>
                <w:color w:val="1A7A45"/>
                <w:sz w:val="14"/>
              </w:rPr>
              <w:t>7 955 €</w:t>
            </w:r>
          </w:p>
        </w:tc>
        <w:tc>
          <w:tcPr>
            <w:tcW w:type="dxa" w:w="1417"/>
            <w:shd w:val="clear" w:color="auto" w:fill="EBF3FA"/>
          </w:tcPr>
          <w:p>
            <w:pPr>
              <w:jc w:val="center"/>
            </w:pPr>
            <w:r>
              <w:rPr>
                <w:sz w:val="14"/>
              </w:rPr>
              <w:t>240 000 — 750 000 €</w:t>
            </w:r>
          </w:p>
        </w:tc>
      </w:tr>
      <w:tr>
        <w:tc>
          <w:tcPr>
            <w:tcW w:type="dxa" w:w="227"/>
            <w:shd w:val="clear" w:color="auto" w:fill="FFFFFF"/>
          </w:tcPr>
          <w:p>
            <w:pPr>
              <w:jc w:val="center"/>
            </w:pPr>
            <w:r>
              <w:rPr>
                <w:sz w:val="14"/>
              </w:rPr>
              <w:t>5</w:t>
            </w:r>
          </w:p>
        </w:tc>
        <w:tc>
          <w:tcPr>
            <w:tcW w:type="dxa" w:w="1587"/>
            <w:shd w:val="clear" w:color="auto" w:fill="FFFFFF"/>
          </w:tcPr>
          <w:p>
            <w:pPr>
              <w:spacing w:before="20" w:after="0"/>
            </w:pPr>
            <w:r>
              <w:rPr>
                <w:b/>
                <w:sz w:val="16"/>
              </w:rPr>
              <w:t>Groupe de refroidissement</w:t>
            </w:r>
          </w:p>
          <w:p>
            <w:pPr>
              <w:spacing w:before="0" w:after="20"/>
            </w:pPr>
            <w:r>
              <w:rPr>
                <w:i/>
                <w:color w:val="555555"/>
                <w:sz w:val="14"/>
              </w:rPr>
              <w:t>Carrier 30RBS 120</w:t>
            </w:r>
          </w:p>
        </w:tc>
        <w:tc>
          <w:tcPr>
            <w:tcW w:type="dxa" w:w="850"/>
            <w:shd w:val="clear" w:color="auto" w:fill="FFFFFF"/>
          </w:tcPr>
          <w:p>
            <w:pPr>
              <w:jc w:val="center"/>
            </w:pPr>
            <w:r>
              <w:rPr>
                <w:sz w:val="14"/>
              </w:rPr>
              <w:t>Hall de fusion</w:t>
            </w:r>
          </w:p>
        </w:tc>
        <w:tc>
          <w:tcPr>
            <w:tcW w:type="dxa" w:w="850"/>
            <w:shd w:val="clear" w:color="auto" w:fill="FFFFFF"/>
          </w:tcPr>
          <w:p>
            <w:pPr>
              <w:jc w:val="center"/>
            </w:pPr>
            <w:r>
              <w:rPr>
                <w:sz w:val="14"/>
              </w:rPr>
              <w:t>2008 (18 ans)</w:t>
            </w:r>
          </w:p>
        </w:tc>
        <w:tc>
          <w:tcPr>
            <w:tcW w:type="dxa" w:w="737"/>
            <w:shd w:val="clear" w:color="auto" w:fill="FFFFFF"/>
          </w:tcPr>
          <w:p>
            <w:pPr>
              <w:jc w:val="center"/>
            </w:pPr>
            <w:r>
              <w:rPr>
                <w:color w:val="C45A00"/>
                <w:sz w:val="14"/>
              </w:rPr>
              <w:t>🟠 Vétuste</w:t>
            </w:r>
          </w:p>
        </w:tc>
        <w:tc>
          <w:tcPr>
            <w:tcW w:type="dxa" w:w="794"/>
            <w:shd w:val="clear" w:color="auto" w:fill="FFFFFF"/>
          </w:tcPr>
          <w:p>
            <w:pPr>
              <w:jc w:val="center"/>
            </w:pPr>
            <w:r>
              <w:rPr>
                <w:sz w:val="14"/>
              </w:rPr>
              <w:t>680 000 kWh</w:t>
            </w:r>
          </w:p>
        </w:tc>
        <w:tc>
          <w:tcPr>
            <w:tcW w:type="dxa" w:w="907"/>
            <w:shd w:val="clear" w:color="auto" w:fill="FFFFFF"/>
          </w:tcPr>
          <w:p>
            <w:pPr>
              <w:jc w:val="center"/>
            </w:pPr>
            <w:r>
              <w:rPr>
                <w:sz w:val="14"/>
              </w:rPr>
              <w:t>10 % → 68 000 kWh</w:t>
            </w:r>
          </w:p>
        </w:tc>
        <w:tc>
          <w:tcPr>
            <w:tcW w:type="dxa" w:w="794"/>
            <w:shd w:val="clear" w:color="auto" w:fill="FFFFFF"/>
          </w:tcPr>
          <w:p>
            <w:pPr>
              <w:jc w:val="center"/>
            </w:pPr>
            <w:r>
              <w:rPr>
                <w:color w:val="1A7A45"/>
                <w:sz w:val="14"/>
              </w:rPr>
              <w:t>5 848 €</w:t>
            </w:r>
          </w:p>
        </w:tc>
        <w:tc>
          <w:tcPr>
            <w:tcW w:type="dxa" w:w="1417"/>
            <w:shd w:val="clear" w:color="auto" w:fill="FFFFFF"/>
          </w:tcPr>
          <w:p>
            <w:pPr>
              <w:jc w:val="center"/>
            </w:pPr>
            <w:r>
              <w:rPr>
                <w:sz w:val="14"/>
              </w:rPr>
              <w:t>27 000 — 63 000 €</w:t>
            </w:r>
          </w:p>
        </w:tc>
      </w:tr>
      <w:tr>
        <w:tc>
          <w:tcPr>
            <w:tcW w:type="dxa" w:w="227"/>
            <w:shd w:val="clear" w:color="auto" w:fill="EBF3FA"/>
          </w:tcPr>
          <w:p>
            <w:pPr>
              <w:jc w:val="center"/>
            </w:pPr>
            <w:r>
              <w:rPr>
                <w:sz w:val="14"/>
              </w:rPr>
              <w:t>6</w:t>
            </w:r>
          </w:p>
        </w:tc>
        <w:tc>
          <w:tcPr>
            <w:tcW w:type="dxa" w:w="1587"/>
            <w:shd w:val="clear" w:color="auto" w:fill="EBF3FA"/>
          </w:tcPr>
          <w:p>
            <w:pPr>
              <w:spacing w:before="20" w:after="0"/>
            </w:pPr>
            <w:r>
              <w:rPr>
                <w:b/>
                <w:sz w:val="16"/>
              </w:rPr>
              <w:t>Four de mise en solution</w:t>
            </w:r>
          </w:p>
          <w:p>
            <w:pPr>
              <w:spacing w:before="0" w:after="20"/>
            </w:pPr>
            <w:r>
              <w:rPr>
                <w:i/>
                <w:color w:val="555555"/>
                <w:sz w:val="14"/>
              </w:rPr>
              <w:t>Nabertherm N 1500/26</w:t>
            </w:r>
          </w:p>
        </w:tc>
        <w:tc>
          <w:tcPr>
            <w:tcW w:type="dxa" w:w="850"/>
            <w:shd w:val="clear" w:color="auto" w:fill="EBF3FA"/>
          </w:tcPr>
          <w:p>
            <w:pPr>
              <w:jc w:val="center"/>
            </w:pPr>
            <w:r>
              <w:rPr>
                <w:sz w:val="14"/>
              </w:rPr>
              <w:t>Traitement thermique</w:t>
            </w:r>
          </w:p>
        </w:tc>
        <w:tc>
          <w:tcPr>
            <w:tcW w:type="dxa" w:w="850"/>
            <w:shd w:val="clear" w:color="auto" w:fill="EBF3FA"/>
          </w:tcPr>
          <w:p>
            <w:pPr>
              <w:jc w:val="center"/>
            </w:pPr>
            <w:r>
              <w:rPr>
                <w:sz w:val="14"/>
              </w:rPr>
              <w:t>2010 (16 ans)</w:t>
            </w:r>
          </w:p>
        </w:tc>
        <w:tc>
          <w:tcPr>
            <w:tcW w:type="dxa" w:w="737"/>
            <w:shd w:val="clear" w:color="auto" w:fill="EBF3FA"/>
          </w:tcPr>
          <w:p>
            <w:pPr>
              <w:jc w:val="center"/>
            </w:pPr>
            <w:r>
              <w:rPr>
                <w:color w:val="C45A00"/>
                <w:sz w:val="14"/>
              </w:rPr>
              <w:t>🟠 Vétuste</w:t>
            </w:r>
          </w:p>
        </w:tc>
        <w:tc>
          <w:tcPr>
            <w:tcW w:type="dxa" w:w="794"/>
            <w:shd w:val="clear" w:color="auto" w:fill="EBF3FA"/>
          </w:tcPr>
          <w:p>
            <w:pPr>
              <w:jc w:val="center"/>
            </w:pPr>
            <w:r>
              <w:rPr>
                <w:sz w:val="14"/>
              </w:rPr>
              <w:t>600 000 kWh</w:t>
            </w:r>
          </w:p>
        </w:tc>
        <w:tc>
          <w:tcPr>
            <w:tcW w:type="dxa" w:w="907"/>
            <w:shd w:val="clear" w:color="auto" w:fill="EBF3FA"/>
          </w:tcPr>
          <w:p>
            <w:pPr>
              <w:jc w:val="center"/>
            </w:pPr>
            <w:r>
              <w:rPr>
                <w:sz w:val="14"/>
              </w:rPr>
              <w:t>10 % → 60 000 kWh</w:t>
            </w:r>
          </w:p>
        </w:tc>
        <w:tc>
          <w:tcPr>
            <w:tcW w:type="dxa" w:w="794"/>
            <w:shd w:val="clear" w:color="auto" w:fill="EBF3FA"/>
          </w:tcPr>
          <w:p>
            <w:pPr>
              <w:jc w:val="center"/>
            </w:pPr>
            <w:r>
              <w:rPr>
                <w:color w:val="1A7A45"/>
                <w:sz w:val="14"/>
              </w:rPr>
              <w:t>5 160 €</w:t>
            </w:r>
          </w:p>
        </w:tc>
        <w:tc>
          <w:tcPr>
            <w:tcW w:type="dxa" w:w="1417"/>
            <w:shd w:val="clear" w:color="auto" w:fill="EBF3FA"/>
          </w:tcPr>
          <w:p>
            <w:pPr>
              <w:jc w:val="center"/>
            </w:pPr>
            <w:r>
              <w:rPr>
                <w:sz w:val="14"/>
              </w:rPr>
              <w:t>96 000 — 300 000 €</w:t>
            </w:r>
          </w:p>
        </w:tc>
      </w:tr>
      <w:tr>
        <w:tc>
          <w:tcPr>
            <w:tcW w:type="dxa" w:w="227"/>
            <w:shd w:val="clear" w:color="auto" w:fill="FFFFFF"/>
          </w:tcPr>
          <w:p>
            <w:pPr>
              <w:jc w:val="center"/>
            </w:pPr>
            <w:r>
              <w:rPr>
                <w:sz w:val="14"/>
              </w:rPr>
              <w:t>7</w:t>
            </w:r>
          </w:p>
        </w:tc>
        <w:tc>
          <w:tcPr>
            <w:tcW w:type="dxa" w:w="1587"/>
            <w:shd w:val="clear" w:color="auto" w:fill="FFFFFF"/>
          </w:tcPr>
          <w:p>
            <w:pPr>
              <w:spacing w:before="20" w:after="0"/>
            </w:pPr>
            <w:r>
              <w:rPr>
                <w:b/>
                <w:sz w:val="16"/>
              </w:rPr>
              <w:t>Four de maintien gaz</w:t>
            </w:r>
          </w:p>
          <w:p>
            <w:pPr>
              <w:spacing w:before="0" w:after="20"/>
            </w:pPr>
            <w:r>
              <w:rPr>
                <w:i/>
                <w:color w:val="555555"/>
                <w:sz w:val="14"/>
              </w:rPr>
              <w:t>StrikoWestofen WN R/E 1500</w:t>
            </w:r>
          </w:p>
        </w:tc>
        <w:tc>
          <w:tcPr>
            <w:tcW w:type="dxa" w:w="850"/>
            <w:shd w:val="clear" w:color="auto" w:fill="FFFFFF"/>
          </w:tcPr>
          <w:p>
            <w:pPr>
              <w:jc w:val="center"/>
            </w:pPr>
            <w:r>
              <w:rPr>
                <w:sz w:val="14"/>
              </w:rPr>
              <w:t>Zone de coulée</w:t>
            </w:r>
          </w:p>
        </w:tc>
        <w:tc>
          <w:tcPr>
            <w:tcW w:type="dxa" w:w="850"/>
            <w:shd w:val="clear" w:color="auto" w:fill="FFFFFF"/>
          </w:tcPr>
          <w:p>
            <w:pPr>
              <w:jc w:val="center"/>
            </w:pPr>
            <w:r>
              <w:rPr>
                <w:sz w:val="14"/>
              </w:rPr>
              <w:t>2015 (11 ans)</w:t>
            </w:r>
          </w:p>
        </w:tc>
        <w:tc>
          <w:tcPr>
            <w:tcW w:type="dxa" w:w="737"/>
            <w:shd w:val="clear" w:color="auto" w:fill="FFFFFF"/>
          </w:tcPr>
          <w:p>
            <w:pPr>
              <w:jc w:val="center"/>
            </w:pPr>
            <w:r>
              <w:rPr>
                <w:sz w:val="14"/>
              </w:rPr>
              <w:t>🟡 À surveiller</w:t>
            </w:r>
          </w:p>
        </w:tc>
        <w:tc>
          <w:tcPr>
            <w:tcW w:type="dxa" w:w="794"/>
            <w:shd w:val="clear" w:color="auto" w:fill="FFFFFF"/>
          </w:tcPr>
          <w:p>
            <w:pPr>
              <w:jc w:val="center"/>
            </w:pPr>
            <w:r>
              <w:rPr>
                <w:sz w:val="14"/>
              </w:rPr>
              <w:t>1 100 000 kWh</w:t>
            </w:r>
          </w:p>
        </w:tc>
        <w:tc>
          <w:tcPr>
            <w:tcW w:type="dxa" w:w="907"/>
            <w:shd w:val="clear" w:color="auto" w:fill="FFFFFF"/>
          </w:tcPr>
          <w:p>
            <w:pPr>
              <w:jc w:val="center"/>
            </w:pPr>
            <w:r>
              <w:rPr>
                <w:sz w:val="14"/>
              </w:rPr>
              <w:t>5 % → 55 000 kWh</w:t>
            </w:r>
          </w:p>
        </w:tc>
        <w:tc>
          <w:tcPr>
            <w:tcW w:type="dxa" w:w="794"/>
            <w:shd w:val="clear" w:color="auto" w:fill="FFFFFF"/>
          </w:tcPr>
          <w:p>
            <w:pPr>
              <w:jc w:val="center"/>
            </w:pPr>
            <w:r>
              <w:rPr>
                <w:color w:val="1A7A45"/>
                <w:sz w:val="14"/>
              </w:rPr>
              <w:t>4 730 €</w:t>
            </w:r>
          </w:p>
        </w:tc>
        <w:tc>
          <w:tcPr>
            <w:tcW w:type="dxa" w:w="1417"/>
            <w:shd w:val="clear" w:color="auto" w:fill="FFFFFF"/>
          </w:tcPr>
          <w:p>
            <w:pPr>
              <w:jc w:val="center"/>
            </w:pPr>
            <w:r>
              <w:rPr>
                <w:sz w:val="14"/>
              </w:rPr>
              <w:t>144 000 — 450 000 €</w:t>
            </w:r>
          </w:p>
        </w:tc>
      </w:tr>
      <w:tr>
        <w:tc>
          <w:tcPr>
            <w:tcW w:type="dxa" w:w="227"/>
            <w:shd w:val="clear" w:color="auto" w:fill="EBF3FA"/>
          </w:tcPr>
          <w:p>
            <w:pPr>
              <w:jc w:val="center"/>
            </w:pPr>
            <w:r>
              <w:rPr>
                <w:sz w:val="14"/>
              </w:rPr>
              <w:t>8</w:t>
            </w:r>
          </w:p>
        </w:tc>
        <w:tc>
          <w:tcPr>
            <w:tcW w:type="dxa" w:w="1587"/>
            <w:shd w:val="clear" w:color="auto" w:fill="EBF3FA"/>
          </w:tcPr>
          <w:p>
            <w:pPr>
              <w:spacing w:before="20" w:after="0"/>
            </w:pPr>
            <w:r>
              <w:rPr>
                <w:b/>
                <w:sz w:val="16"/>
              </w:rPr>
              <w:t>Four de revenu</w:t>
            </w:r>
          </w:p>
          <w:p>
            <w:pPr>
              <w:spacing w:before="0" w:after="20"/>
            </w:pPr>
            <w:r>
              <w:rPr>
                <w:i/>
                <w:color w:val="555555"/>
                <w:sz w:val="14"/>
              </w:rPr>
              <w:t>Nabertherm N 500/12</w:t>
            </w:r>
          </w:p>
        </w:tc>
        <w:tc>
          <w:tcPr>
            <w:tcW w:type="dxa" w:w="850"/>
            <w:shd w:val="clear" w:color="auto" w:fill="EBF3FA"/>
          </w:tcPr>
          <w:p>
            <w:pPr>
              <w:jc w:val="center"/>
            </w:pPr>
            <w:r>
              <w:rPr>
                <w:sz w:val="14"/>
              </w:rPr>
              <w:t>Traitement thermique</w:t>
            </w:r>
          </w:p>
        </w:tc>
        <w:tc>
          <w:tcPr>
            <w:tcW w:type="dxa" w:w="850"/>
            <w:shd w:val="clear" w:color="auto" w:fill="EBF3FA"/>
          </w:tcPr>
          <w:p>
            <w:pPr>
              <w:jc w:val="center"/>
            </w:pPr>
            <w:r>
              <w:rPr>
                <w:sz w:val="14"/>
              </w:rPr>
              <w:t>2010 (16 ans)</w:t>
            </w:r>
          </w:p>
        </w:tc>
        <w:tc>
          <w:tcPr>
            <w:tcW w:type="dxa" w:w="737"/>
            <w:shd w:val="clear" w:color="auto" w:fill="EBF3FA"/>
          </w:tcPr>
          <w:p>
            <w:pPr>
              <w:jc w:val="center"/>
            </w:pPr>
            <w:r>
              <w:rPr>
                <w:color w:val="C45A00"/>
                <w:sz w:val="14"/>
              </w:rPr>
              <w:t>🟠 Vétuste</w:t>
            </w:r>
          </w:p>
        </w:tc>
        <w:tc>
          <w:tcPr>
            <w:tcW w:type="dxa" w:w="794"/>
            <w:shd w:val="clear" w:color="auto" w:fill="EBF3FA"/>
          </w:tcPr>
          <w:p>
            <w:pPr>
              <w:jc w:val="center"/>
            </w:pPr>
            <w:r>
              <w:rPr>
                <w:sz w:val="14"/>
              </w:rPr>
              <w:t>360 000 kWh</w:t>
            </w:r>
          </w:p>
        </w:tc>
        <w:tc>
          <w:tcPr>
            <w:tcW w:type="dxa" w:w="907"/>
            <w:shd w:val="clear" w:color="auto" w:fill="EBF3FA"/>
          </w:tcPr>
          <w:p>
            <w:pPr>
              <w:jc w:val="center"/>
            </w:pPr>
            <w:r>
              <w:rPr>
                <w:sz w:val="14"/>
              </w:rPr>
              <w:t>10 % → 36 000 kWh</w:t>
            </w:r>
          </w:p>
        </w:tc>
        <w:tc>
          <w:tcPr>
            <w:tcW w:type="dxa" w:w="794"/>
            <w:shd w:val="clear" w:color="auto" w:fill="EBF3FA"/>
          </w:tcPr>
          <w:p>
            <w:pPr>
              <w:jc w:val="center"/>
            </w:pPr>
            <w:r>
              <w:rPr>
                <w:color w:val="1A7A45"/>
                <w:sz w:val="14"/>
              </w:rPr>
              <w:t>3 096 €</w:t>
            </w:r>
          </w:p>
        </w:tc>
        <w:tc>
          <w:tcPr>
            <w:tcW w:type="dxa" w:w="1417"/>
            <w:shd w:val="clear" w:color="auto" w:fill="EBF3FA"/>
          </w:tcPr>
          <w:p>
            <w:pPr>
              <w:jc w:val="center"/>
            </w:pPr>
            <w:r>
              <w:rPr>
                <w:sz w:val="14"/>
              </w:rPr>
              <w:t>64 000 — 200 000 €</w:t>
            </w:r>
          </w:p>
        </w:tc>
      </w:tr>
      <w:tr>
        <w:tc>
          <w:tcPr>
            <w:tcW w:type="dxa" w:w="227"/>
            <w:shd w:val="clear" w:color="auto" w:fill="FFFFFF"/>
          </w:tcPr>
          <w:p>
            <w:pPr>
              <w:jc w:val="center"/>
            </w:pPr>
            <w:r>
              <w:rPr>
                <w:sz w:val="14"/>
              </w:rPr>
              <w:t>9</w:t>
            </w:r>
          </w:p>
        </w:tc>
        <w:tc>
          <w:tcPr>
            <w:tcW w:type="dxa" w:w="1587"/>
            <w:shd w:val="clear" w:color="auto" w:fill="FFFFFF"/>
          </w:tcPr>
          <w:p>
            <w:pPr>
              <w:spacing w:before="20" w:after="0"/>
            </w:pPr>
            <w:r>
              <w:rPr>
                <w:b/>
                <w:sz w:val="16"/>
              </w:rPr>
              <w:t>Système aspiration fumées</w:t>
            </w:r>
          </w:p>
          <w:p>
            <w:pPr>
              <w:spacing w:before="0" w:after="20"/>
            </w:pPr>
            <w:r>
              <w:rPr>
                <w:i/>
                <w:color w:val="555555"/>
                <w:sz w:val="14"/>
              </w:rPr>
              <w:t>Scheuch EcoAir 4500</w:t>
            </w:r>
          </w:p>
        </w:tc>
        <w:tc>
          <w:tcPr>
            <w:tcW w:type="dxa" w:w="850"/>
            <w:shd w:val="clear" w:color="auto" w:fill="FFFFFF"/>
          </w:tcPr>
          <w:p>
            <w:pPr>
              <w:jc w:val="center"/>
            </w:pPr>
            <w:r>
              <w:rPr>
                <w:sz w:val="14"/>
              </w:rPr>
              <w:t>Hall de fusion</w:t>
            </w:r>
          </w:p>
        </w:tc>
        <w:tc>
          <w:tcPr>
            <w:tcW w:type="dxa" w:w="850"/>
            <w:shd w:val="clear" w:color="auto" w:fill="FFFFFF"/>
          </w:tcPr>
          <w:p>
            <w:pPr>
              <w:jc w:val="center"/>
            </w:pPr>
            <w:r>
              <w:rPr>
                <w:sz w:val="14"/>
              </w:rPr>
              <w:t>2010 (16 ans)</w:t>
            </w:r>
          </w:p>
        </w:tc>
        <w:tc>
          <w:tcPr>
            <w:tcW w:type="dxa" w:w="737"/>
            <w:shd w:val="clear" w:color="auto" w:fill="FFFFFF"/>
          </w:tcPr>
          <w:p>
            <w:pPr>
              <w:jc w:val="center"/>
            </w:pPr>
            <w:r>
              <w:rPr>
                <w:color w:val="C45A00"/>
                <w:sz w:val="14"/>
              </w:rPr>
              <w:t>🟠 Vétuste</w:t>
            </w:r>
          </w:p>
        </w:tc>
        <w:tc>
          <w:tcPr>
            <w:tcW w:type="dxa" w:w="794"/>
            <w:shd w:val="clear" w:color="auto" w:fill="FFFFFF"/>
          </w:tcPr>
          <w:p>
            <w:pPr>
              <w:jc w:val="center"/>
            </w:pPr>
            <w:r>
              <w:rPr>
                <w:sz w:val="14"/>
              </w:rPr>
              <w:t>350 000 kWh</w:t>
            </w:r>
          </w:p>
        </w:tc>
        <w:tc>
          <w:tcPr>
            <w:tcW w:type="dxa" w:w="907"/>
            <w:shd w:val="clear" w:color="auto" w:fill="FFFFFF"/>
          </w:tcPr>
          <w:p>
            <w:pPr>
              <w:jc w:val="center"/>
            </w:pPr>
            <w:r>
              <w:rPr>
                <w:sz w:val="14"/>
              </w:rPr>
              <w:t>10 % → 35 000 kWh</w:t>
            </w:r>
          </w:p>
        </w:tc>
        <w:tc>
          <w:tcPr>
            <w:tcW w:type="dxa" w:w="794"/>
            <w:shd w:val="clear" w:color="auto" w:fill="FFFFFF"/>
          </w:tcPr>
          <w:p>
            <w:pPr>
              <w:jc w:val="center"/>
            </w:pPr>
            <w:r>
              <w:rPr>
                <w:color w:val="1A7A45"/>
                <w:sz w:val="14"/>
              </w:rPr>
              <w:t>3 010 €</w:t>
            </w:r>
          </w:p>
        </w:tc>
        <w:tc>
          <w:tcPr>
            <w:tcW w:type="dxa" w:w="1417"/>
            <w:shd w:val="clear" w:color="auto" w:fill="FFFFFF"/>
          </w:tcPr>
          <w:p>
            <w:pPr>
              <w:jc w:val="center"/>
            </w:pPr>
            <w:r>
              <w:rPr>
                <w:sz w:val="14"/>
              </w:rPr>
              <w:t>13 500 — 31 500 €</w:t>
            </w:r>
          </w:p>
        </w:tc>
      </w:tr>
      <w:tr>
        <w:tc>
          <w:tcPr>
            <w:tcW w:type="dxa" w:w="227"/>
            <w:shd w:val="clear" w:color="auto" w:fill="EBF3FA"/>
          </w:tcPr>
          <w:p>
            <w:pPr>
              <w:jc w:val="center"/>
            </w:pPr>
            <w:r>
              <w:rPr>
                <w:sz w:val="14"/>
              </w:rPr>
              <w:t>10</w:t>
            </w:r>
          </w:p>
        </w:tc>
        <w:tc>
          <w:tcPr>
            <w:tcW w:type="dxa" w:w="1587"/>
            <w:shd w:val="clear" w:color="auto" w:fill="EBF3FA"/>
          </w:tcPr>
          <w:p>
            <w:pPr>
              <w:spacing w:before="20" w:after="0"/>
            </w:pPr>
            <w:r>
              <w:rPr>
                <w:b/>
                <w:sz w:val="16"/>
              </w:rPr>
              <w:t>Préchauffeur poches gaz</w:t>
            </w:r>
          </w:p>
          <w:p>
            <w:pPr>
              <w:spacing w:before="0" w:after="20"/>
            </w:pPr>
            <w:r>
              <w:rPr>
                <w:i/>
                <w:color w:val="555555"/>
                <w:sz w:val="14"/>
              </w:rPr>
              <w:t>Insertec LHS-300</w:t>
            </w:r>
          </w:p>
        </w:tc>
        <w:tc>
          <w:tcPr>
            <w:tcW w:type="dxa" w:w="850"/>
            <w:shd w:val="clear" w:color="auto" w:fill="EBF3FA"/>
          </w:tcPr>
          <w:p>
            <w:pPr>
              <w:jc w:val="center"/>
            </w:pPr>
            <w:r>
              <w:rPr>
                <w:sz w:val="14"/>
              </w:rPr>
              <w:t>Zone de coulée</w:t>
            </w:r>
          </w:p>
        </w:tc>
        <w:tc>
          <w:tcPr>
            <w:tcW w:type="dxa" w:w="850"/>
            <w:shd w:val="clear" w:color="auto" w:fill="EBF3FA"/>
          </w:tcPr>
          <w:p>
            <w:pPr>
              <w:jc w:val="center"/>
            </w:pPr>
            <w:r>
              <w:rPr>
                <w:sz w:val="14"/>
              </w:rPr>
              <w:t>2011 (15 ans)</w:t>
            </w:r>
          </w:p>
        </w:tc>
        <w:tc>
          <w:tcPr>
            <w:tcW w:type="dxa" w:w="737"/>
            <w:shd w:val="clear" w:color="auto" w:fill="EBF3FA"/>
          </w:tcPr>
          <w:p>
            <w:pPr>
              <w:jc w:val="center"/>
            </w:pPr>
            <w:r>
              <w:rPr>
                <w:color w:val="C45A00"/>
                <w:sz w:val="14"/>
              </w:rPr>
              <w:t>🟠 Vétuste</w:t>
            </w:r>
          </w:p>
        </w:tc>
        <w:tc>
          <w:tcPr>
            <w:tcW w:type="dxa" w:w="794"/>
            <w:shd w:val="clear" w:color="auto" w:fill="EBF3FA"/>
          </w:tcPr>
          <w:p>
            <w:pPr>
              <w:jc w:val="center"/>
            </w:pPr>
            <w:r>
              <w:rPr>
                <w:sz w:val="14"/>
              </w:rPr>
              <w:t>350 000 kWh</w:t>
            </w:r>
          </w:p>
        </w:tc>
        <w:tc>
          <w:tcPr>
            <w:tcW w:type="dxa" w:w="907"/>
            <w:shd w:val="clear" w:color="auto" w:fill="EBF3FA"/>
          </w:tcPr>
          <w:p>
            <w:pPr>
              <w:jc w:val="center"/>
            </w:pPr>
            <w:r>
              <w:rPr>
                <w:sz w:val="14"/>
              </w:rPr>
              <w:t>10 % → 35 000 kWh</w:t>
            </w:r>
          </w:p>
        </w:tc>
        <w:tc>
          <w:tcPr>
            <w:tcW w:type="dxa" w:w="794"/>
            <w:shd w:val="clear" w:color="auto" w:fill="EBF3FA"/>
          </w:tcPr>
          <w:p>
            <w:pPr>
              <w:jc w:val="center"/>
            </w:pPr>
            <w:r>
              <w:rPr>
                <w:color w:val="1A7A45"/>
                <w:sz w:val="14"/>
              </w:rPr>
              <w:t>3 010 €</w:t>
            </w:r>
          </w:p>
        </w:tc>
        <w:tc>
          <w:tcPr>
            <w:tcW w:type="dxa" w:w="1417"/>
            <w:shd w:val="clear" w:color="auto" w:fill="EBF3FA"/>
          </w:tcPr>
          <w:p>
            <w:pPr>
              <w:jc w:val="center"/>
            </w:pPr>
            <w:r>
              <w:rPr>
                <w:sz w:val="14"/>
              </w:rPr>
              <w:t>24 000 — 56 000 €</w:t>
            </w:r>
          </w:p>
        </w:tc>
      </w:tr>
      <w:tr>
        <w:tc>
          <w:tcPr>
            <w:tcW w:type="dxa" w:w="227"/>
            <w:shd w:val="clear" w:color="auto" w:fill="FFFFFF"/>
          </w:tcPr>
          <w:p>
            <w:pPr>
              <w:jc w:val="center"/>
            </w:pPr>
            <w:r>
              <w:rPr>
                <w:sz w:val="14"/>
              </w:rPr>
              <w:t>11</w:t>
            </w:r>
          </w:p>
        </w:tc>
        <w:tc>
          <w:tcPr>
            <w:tcW w:type="dxa" w:w="1587"/>
            <w:shd w:val="clear" w:color="auto" w:fill="FFFFFF"/>
          </w:tcPr>
          <w:p>
            <w:pPr>
              <w:spacing w:before="20" w:after="0"/>
            </w:pPr>
            <w:r>
              <w:rPr>
                <w:b/>
                <w:sz w:val="16"/>
              </w:rPr>
              <w:t>Grenailleuse</w:t>
            </w:r>
          </w:p>
          <w:p>
            <w:pPr>
              <w:spacing w:before="0" w:after="20"/>
            </w:pPr>
            <w:r>
              <w:rPr>
                <w:i/>
                <w:color w:val="555555"/>
                <w:sz w:val="14"/>
              </w:rPr>
              <w:t>Wheelabrator CT 15-6</w:t>
            </w:r>
          </w:p>
        </w:tc>
        <w:tc>
          <w:tcPr>
            <w:tcW w:type="dxa" w:w="850"/>
            <w:shd w:val="clear" w:color="auto" w:fill="FFFFFF"/>
          </w:tcPr>
          <w:p>
            <w:pPr>
              <w:jc w:val="center"/>
            </w:pPr>
            <w:r>
              <w:rPr>
                <w:sz w:val="14"/>
              </w:rPr>
              <w:t>Atelier finition</w:t>
            </w:r>
          </w:p>
        </w:tc>
        <w:tc>
          <w:tcPr>
            <w:tcW w:type="dxa" w:w="850"/>
            <w:shd w:val="clear" w:color="auto" w:fill="FFFFFF"/>
          </w:tcPr>
          <w:p>
            <w:pPr>
              <w:jc w:val="center"/>
            </w:pPr>
            <w:r>
              <w:rPr>
                <w:sz w:val="14"/>
              </w:rPr>
              <w:t>2009 (17 ans)</w:t>
            </w:r>
          </w:p>
        </w:tc>
        <w:tc>
          <w:tcPr>
            <w:tcW w:type="dxa" w:w="737"/>
            <w:shd w:val="clear" w:color="auto" w:fill="FFFFFF"/>
          </w:tcPr>
          <w:p>
            <w:pPr>
              <w:jc w:val="center"/>
            </w:pPr>
            <w:r>
              <w:rPr>
                <w:color w:val="C45A00"/>
                <w:sz w:val="14"/>
              </w:rPr>
              <w:t>🟠 Vétuste</w:t>
            </w:r>
          </w:p>
        </w:tc>
        <w:tc>
          <w:tcPr>
            <w:tcW w:type="dxa" w:w="794"/>
            <w:shd w:val="clear" w:color="auto" w:fill="FFFFFF"/>
          </w:tcPr>
          <w:p>
            <w:pPr>
              <w:jc w:val="center"/>
            </w:pPr>
            <w:r>
              <w:rPr>
                <w:sz w:val="14"/>
              </w:rPr>
              <w:t>180 000 kWh</w:t>
            </w:r>
          </w:p>
        </w:tc>
        <w:tc>
          <w:tcPr>
            <w:tcW w:type="dxa" w:w="907"/>
            <w:shd w:val="clear" w:color="auto" w:fill="FFFFFF"/>
          </w:tcPr>
          <w:p>
            <w:pPr>
              <w:jc w:val="center"/>
            </w:pPr>
            <w:r>
              <w:rPr>
                <w:sz w:val="14"/>
              </w:rPr>
              <w:t>10 % → 18 000 kWh</w:t>
            </w:r>
          </w:p>
        </w:tc>
        <w:tc>
          <w:tcPr>
            <w:tcW w:type="dxa" w:w="794"/>
            <w:shd w:val="clear" w:color="auto" w:fill="FFFFFF"/>
          </w:tcPr>
          <w:p>
            <w:pPr>
              <w:jc w:val="center"/>
            </w:pPr>
            <w:r>
              <w:rPr>
                <w:color w:val="1A7A45"/>
                <w:sz w:val="14"/>
              </w:rPr>
              <w:t>1 548 €</w:t>
            </w:r>
          </w:p>
        </w:tc>
        <w:tc>
          <w:tcPr>
            <w:tcW w:type="dxa" w:w="1417"/>
            <w:shd w:val="clear" w:color="auto" w:fill="FFFFFF"/>
          </w:tcPr>
          <w:p>
            <w:pPr>
              <w:jc w:val="center"/>
            </w:pPr>
            <w:r>
              <w:rPr>
                <w:sz w:val="14"/>
              </w:rPr>
              <w:t>9 000 — 21 000 €</w:t>
            </w:r>
          </w:p>
        </w:tc>
      </w:tr>
      <w:tr>
        <w:tc>
          <w:tcPr>
            <w:tcW w:type="dxa" w:w="227"/>
            <w:shd w:val="clear" w:color="auto" w:fill="EBF3FA"/>
          </w:tcPr>
          <w:p>
            <w:pPr>
              <w:jc w:val="center"/>
            </w:pPr>
            <w:r>
              <w:rPr>
                <w:sz w:val="14"/>
              </w:rPr>
              <w:t>12</w:t>
            </w:r>
          </w:p>
        </w:tc>
        <w:tc>
          <w:tcPr>
            <w:tcW w:type="dxa" w:w="1587"/>
            <w:shd w:val="clear" w:color="auto" w:fill="EBF3FA"/>
          </w:tcPr>
          <w:p>
            <w:pPr>
              <w:spacing w:before="20" w:after="0"/>
            </w:pPr>
            <w:r>
              <w:rPr>
                <w:b/>
                <w:sz w:val="16"/>
              </w:rPr>
              <w:t>Compresseur à vis</w:t>
            </w:r>
          </w:p>
          <w:p>
            <w:pPr>
              <w:spacing w:before="0" w:after="20"/>
            </w:pPr>
            <w:r>
              <w:rPr>
                <w:i/>
                <w:color w:val="555555"/>
                <w:sz w:val="14"/>
              </w:rPr>
              <w:t>Atlas Copco GA 37 VSD+</w:t>
            </w:r>
          </w:p>
        </w:tc>
        <w:tc>
          <w:tcPr>
            <w:tcW w:type="dxa" w:w="850"/>
            <w:shd w:val="clear" w:color="auto" w:fill="EBF3FA"/>
          </w:tcPr>
          <w:p>
            <w:pPr>
              <w:jc w:val="center"/>
            </w:pPr>
            <w:r>
              <w:rPr>
                <w:sz w:val="14"/>
              </w:rPr>
              <w:t>Salle compresseurs</w:t>
            </w:r>
          </w:p>
        </w:tc>
        <w:tc>
          <w:tcPr>
            <w:tcW w:type="dxa" w:w="850"/>
            <w:shd w:val="clear" w:color="auto" w:fill="EBF3FA"/>
          </w:tcPr>
          <w:p>
            <w:pPr>
              <w:jc w:val="center"/>
            </w:pPr>
            <w:r>
              <w:rPr>
                <w:sz w:val="14"/>
              </w:rPr>
              <w:t>2016 (10 ans)</w:t>
            </w:r>
          </w:p>
        </w:tc>
        <w:tc>
          <w:tcPr>
            <w:tcW w:type="dxa" w:w="737"/>
            <w:shd w:val="clear" w:color="auto" w:fill="EBF3FA"/>
          </w:tcPr>
          <w:p>
            <w:pPr>
              <w:jc w:val="center"/>
            </w:pPr>
            <w:r>
              <w:rPr>
                <w:sz w:val="14"/>
              </w:rPr>
              <w:t>🟡 À surveiller</w:t>
            </w:r>
          </w:p>
        </w:tc>
        <w:tc>
          <w:tcPr>
            <w:tcW w:type="dxa" w:w="794"/>
            <w:shd w:val="clear" w:color="auto" w:fill="EBF3FA"/>
          </w:tcPr>
          <w:p>
            <w:pPr>
              <w:jc w:val="center"/>
            </w:pPr>
            <w:r>
              <w:rPr>
                <w:sz w:val="14"/>
              </w:rPr>
              <w:t>295 000 kWh</w:t>
            </w:r>
          </w:p>
        </w:tc>
        <w:tc>
          <w:tcPr>
            <w:tcW w:type="dxa" w:w="907"/>
            <w:shd w:val="clear" w:color="auto" w:fill="EBF3FA"/>
          </w:tcPr>
          <w:p>
            <w:pPr>
              <w:jc w:val="center"/>
            </w:pPr>
            <w:r>
              <w:rPr>
                <w:sz w:val="14"/>
              </w:rPr>
              <w:t>5 % → 14 750 kWh</w:t>
            </w:r>
          </w:p>
        </w:tc>
        <w:tc>
          <w:tcPr>
            <w:tcW w:type="dxa" w:w="794"/>
            <w:shd w:val="clear" w:color="auto" w:fill="EBF3FA"/>
          </w:tcPr>
          <w:p>
            <w:pPr>
              <w:jc w:val="center"/>
            </w:pPr>
            <w:r>
              <w:rPr>
                <w:color w:val="1A7A45"/>
                <w:sz w:val="14"/>
              </w:rPr>
              <w:t>1 268 €</w:t>
            </w:r>
          </w:p>
        </w:tc>
        <w:tc>
          <w:tcPr>
            <w:tcW w:type="dxa" w:w="1417"/>
            <w:shd w:val="clear" w:color="auto" w:fill="EBF3FA"/>
          </w:tcPr>
          <w:p>
            <w:pPr>
              <w:jc w:val="center"/>
            </w:pPr>
            <w:r>
              <w:rPr>
                <w:sz w:val="14"/>
              </w:rPr>
              <w:t>11 100 — 25 900 €</w:t>
            </w:r>
          </w:p>
        </w:tc>
      </w:tr>
      <w:tr>
        <w:tc>
          <w:tcPr>
            <w:tcW w:type="dxa" w:w="227"/>
            <w:shd w:val="clear" w:color="auto" w:fill="FFFFFF"/>
          </w:tcPr>
          <w:p>
            <w:pPr>
              <w:jc w:val="center"/>
            </w:pPr>
            <w:r>
              <w:rPr>
                <w:sz w:val="14"/>
              </w:rPr>
              <w:t>13</w:t>
            </w:r>
          </w:p>
        </w:tc>
        <w:tc>
          <w:tcPr>
            <w:tcW w:type="dxa" w:w="1587"/>
            <w:shd w:val="clear" w:color="auto" w:fill="FFFFFF"/>
          </w:tcPr>
          <w:p>
            <w:pPr>
              <w:spacing w:before="20" w:after="0"/>
            </w:pPr>
            <w:r>
              <w:rPr>
                <w:b/>
                <w:sz w:val="16"/>
              </w:rPr>
              <w:t>Bac de trempe</w:t>
            </w:r>
          </w:p>
          <w:p>
            <w:pPr>
              <w:spacing w:before="0" w:after="20"/>
            </w:pPr>
            <w:r>
              <w:rPr>
                <w:i/>
                <w:color w:val="555555"/>
                <w:sz w:val="14"/>
              </w:rPr>
              <w:t>Système sur mesure BT-3000L</w:t>
            </w:r>
          </w:p>
        </w:tc>
        <w:tc>
          <w:tcPr>
            <w:tcW w:type="dxa" w:w="850"/>
            <w:shd w:val="clear" w:color="auto" w:fill="FFFFFF"/>
          </w:tcPr>
          <w:p>
            <w:pPr>
              <w:jc w:val="center"/>
            </w:pPr>
            <w:r>
              <w:rPr>
                <w:sz w:val="14"/>
              </w:rPr>
              <w:t>Traitement thermique</w:t>
            </w:r>
          </w:p>
        </w:tc>
        <w:tc>
          <w:tcPr>
            <w:tcW w:type="dxa" w:w="850"/>
            <w:shd w:val="clear" w:color="auto" w:fill="FFFFFF"/>
          </w:tcPr>
          <w:p>
            <w:pPr>
              <w:jc w:val="center"/>
            </w:pPr>
            <w:r>
              <w:rPr>
                <w:sz w:val="14"/>
              </w:rPr>
              <w:t>2010 (16 ans)</w:t>
            </w:r>
          </w:p>
        </w:tc>
        <w:tc>
          <w:tcPr>
            <w:tcW w:type="dxa" w:w="737"/>
            <w:shd w:val="clear" w:color="auto" w:fill="FFFFFF"/>
          </w:tcPr>
          <w:p>
            <w:pPr>
              <w:jc w:val="center"/>
            </w:pPr>
            <w:r>
              <w:rPr>
                <w:color w:val="C45A00"/>
                <w:sz w:val="14"/>
              </w:rPr>
              <w:t>🟠 Vétuste</w:t>
            </w:r>
          </w:p>
        </w:tc>
        <w:tc>
          <w:tcPr>
            <w:tcW w:type="dxa" w:w="794"/>
            <w:shd w:val="clear" w:color="auto" w:fill="FFFFFF"/>
          </w:tcPr>
          <w:p>
            <w:pPr>
              <w:jc w:val="center"/>
            </w:pPr>
            <w:r>
              <w:rPr>
                <w:sz w:val="14"/>
              </w:rPr>
              <w:t>120 000 kWh</w:t>
            </w:r>
          </w:p>
        </w:tc>
        <w:tc>
          <w:tcPr>
            <w:tcW w:type="dxa" w:w="907"/>
            <w:shd w:val="clear" w:color="auto" w:fill="FFFFFF"/>
          </w:tcPr>
          <w:p>
            <w:pPr>
              <w:jc w:val="center"/>
            </w:pPr>
            <w:r>
              <w:rPr>
                <w:sz w:val="14"/>
              </w:rPr>
              <w:t>10 % → 12 000 kWh</w:t>
            </w:r>
          </w:p>
        </w:tc>
        <w:tc>
          <w:tcPr>
            <w:tcW w:type="dxa" w:w="794"/>
            <w:shd w:val="clear" w:color="auto" w:fill="FFFFFF"/>
          </w:tcPr>
          <w:p>
            <w:pPr>
              <w:jc w:val="center"/>
            </w:pPr>
            <w:r>
              <w:rPr>
                <w:color w:val="1A7A45"/>
                <w:sz w:val="14"/>
              </w:rPr>
              <w:t>1 032 €</w:t>
            </w:r>
          </w:p>
        </w:tc>
        <w:tc>
          <w:tcPr>
            <w:tcW w:type="dxa" w:w="1417"/>
            <w:shd w:val="clear" w:color="auto" w:fill="FFFFFF"/>
          </w:tcPr>
          <w:p>
            <w:pPr>
              <w:jc w:val="center"/>
            </w:pPr>
            <w:r>
              <w:rPr>
                <w:sz w:val="14"/>
              </w:rPr>
              <w:t>9 000 — 21 000 €</w:t>
            </w:r>
          </w:p>
        </w:tc>
      </w:tr>
      <w:tr>
        <w:tc>
          <w:tcPr>
            <w:tcW w:type="dxa" w:w="227"/>
            <w:shd w:val="clear" w:color="auto" w:fill="EBF3FA"/>
          </w:tcPr>
          <w:p>
            <w:pPr>
              <w:jc w:val="center"/>
            </w:pPr>
            <w:r>
              <w:rPr>
                <w:sz w:val="14"/>
              </w:rPr>
              <w:t>14</w:t>
            </w:r>
          </w:p>
        </w:tc>
        <w:tc>
          <w:tcPr>
            <w:tcW w:type="dxa" w:w="1587"/>
            <w:shd w:val="clear" w:color="auto" w:fill="EBF3FA"/>
          </w:tcPr>
          <w:p>
            <w:pPr>
              <w:spacing w:before="20" w:after="0"/>
            </w:pPr>
            <w:r>
              <w:rPr>
                <w:b/>
                <w:sz w:val="16"/>
              </w:rPr>
              <w:t>Compresseur à vis</w:t>
            </w:r>
          </w:p>
          <w:p>
            <w:pPr>
              <w:spacing w:before="0" w:after="20"/>
            </w:pPr>
            <w:r>
              <w:rPr>
                <w:i/>
                <w:color w:val="555555"/>
                <w:sz w:val="14"/>
              </w:rPr>
              <w:t>Atlas Copco GA 22</w:t>
            </w:r>
          </w:p>
        </w:tc>
        <w:tc>
          <w:tcPr>
            <w:tcW w:type="dxa" w:w="850"/>
            <w:shd w:val="clear" w:color="auto" w:fill="EBF3FA"/>
          </w:tcPr>
          <w:p>
            <w:pPr>
              <w:jc w:val="center"/>
            </w:pPr>
            <w:r>
              <w:rPr>
                <w:sz w:val="14"/>
              </w:rPr>
              <w:t>Salle compresseurs</w:t>
            </w:r>
          </w:p>
        </w:tc>
        <w:tc>
          <w:tcPr>
            <w:tcW w:type="dxa" w:w="850"/>
            <w:shd w:val="clear" w:color="auto" w:fill="EBF3FA"/>
          </w:tcPr>
          <w:p>
            <w:pPr>
              <w:jc w:val="center"/>
            </w:pPr>
            <w:r>
              <w:rPr>
                <w:sz w:val="14"/>
              </w:rPr>
              <w:t>2008 (18 ans)</w:t>
            </w:r>
          </w:p>
        </w:tc>
        <w:tc>
          <w:tcPr>
            <w:tcW w:type="dxa" w:w="737"/>
            <w:shd w:val="clear" w:color="auto" w:fill="EBF3FA"/>
          </w:tcPr>
          <w:p>
            <w:pPr>
              <w:jc w:val="center"/>
            </w:pPr>
            <w:r>
              <w:rPr>
                <w:color w:val="C45A00"/>
                <w:sz w:val="14"/>
              </w:rPr>
              <w:t>🟠 Vétuste</w:t>
            </w:r>
          </w:p>
        </w:tc>
        <w:tc>
          <w:tcPr>
            <w:tcW w:type="dxa" w:w="794"/>
            <w:shd w:val="clear" w:color="auto" w:fill="EBF3FA"/>
          </w:tcPr>
          <w:p>
            <w:pPr>
              <w:jc w:val="center"/>
            </w:pPr>
            <w:r>
              <w:rPr>
                <w:sz w:val="14"/>
              </w:rPr>
              <w:t>115 000 kWh</w:t>
            </w:r>
          </w:p>
        </w:tc>
        <w:tc>
          <w:tcPr>
            <w:tcW w:type="dxa" w:w="907"/>
            <w:shd w:val="clear" w:color="auto" w:fill="EBF3FA"/>
          </w:tcPr>
          <w:p>
            <w:pPr>
              <w:jc w:val="center"/>
            </w:pPr>
            <w:r>
              <w:rPr>
                <w:sz w:val="14"/>
              </w:rPr>
              <w:t>10 % → 11 500 kWh</w:t>
            </w:r>
          </w:p>
        </w:tc>
        <w:tc>
          <w:tcPr>
            <w:tcW w:type="dxa" w:w="794"/>
            <w:shd w:val="clear" w:color="auto" w:fill="EBF3FA"/>
          </w:tcPr>
          <w:p>
            <w:pPr>
              <w:jc w:val="center"/>
            </w:pPr>
            <w:r>
              <w:rPr>
                <w:color w:val="1A7A45"/>
                <w:sz w:val="14"/>
              </w:rPr>
              <w:t>989 €</w:t>
            </w:r>
          </w:p>
        </w:tc>
        <w:tc>
          <w:tcPr>
            <w:tcW w:type="dxa" w:w="1417"/>
            <w:shd w:val="clear" w:color="auto" w:fill="EBF3FA"/>
          </w:tcPr>
          <w:p>
            <w:pPr>
              <w:jc w:val="center"/>
            </w:pPr>
            <w:r>
              <w:rPr>
                <w:sz w:val="14"/>
              </w:rPr>
              <w:t>6 600 — 15 400 €</w:t>
            </w:r>
          </w:p>
        </w:tc>
      </w:tr>
      <w:tr>
        <w:tc>
          <w:tcPr>
            <w:tcW w:type="dxa" w:w="227"/>
            <w:shd w:val="clear" w:color="auto" w:fill="FFFFFF"/>
          </w:tcPr>
          <w:p>
            <w:pPr>
              <w:jc w:val="center"/>
            </w:pPr>
            <w:r>
              <w:rPr>
                <w:sz w:val="14"/>
              </w:rPr>
              <w:t>15</w:t>
            </w:r>
          </w:p>
        </w:tc>
        <w:tc>
          <w:tcPr>
            <w:tcW w:type="dxa" w:w="1587"/>
            <w:shd w:val="clear" w:color="auto" w:fill="FFFFFF"/>
          </w:tcPr>
          <w:p>
            <w:pPr>
              <w:spacing w:before="20" w:after="0"/>
            </w:pPr>
            <w:r>
              <w:rPr>
                <w:b/>
                <w:sz w:val="16"/>
              </w:rPr>
              <w:t>Pont roulant</w:t>
            </w:r>
          </w:p>
          <w:p>
            <w:pPr>
              <w:spacing w:before="0" w:after="20"/>
            </w:pPr>
            <w:r>
              <w:rPr>
                <w:i/>
                <w:color w:val="555555"/>
                <w:sz w:val="14"/>
              </w:rPr>
              <w:t>Demag EKKE 10T</w:t>
            </w:r>
          </w:p>
        </w:tc>
        <w:tc>
          <w:tcPr>
            <w:tcW w:type="dxa" w:w="850"/>
            <w:shd w:val="clear" w:color="auto" w:fill="FFFFFF"/>
          </w:tcPr>
          <w:p>
            <w:pPr>
              <w:jc w:val="center"/>
            </w:pPr>
            <w:r>
              <w:rPr>
                <w:sz w:val="14"/>
              </w:rPr>
              <w:t>Hall de fusion</w:t>
            </w:r>
          </w:p>
        </w:tc>
        <w:tc>
          <w:tcPr>
            <w:tcW w:type="dxa" w:w="850"/>
            <w:shd w:val="clear" w:color="auto" w:fill="FFFFFF"/>
          </w:tcPr>
          <w:p>
            <w:pPr>
              <w:jc w:val="center"/>
            </w:pPr>
            <w:r>
              <w:rPr>
                <w:sz w:val="14"/>
              </w:rPr>
              <w:t>2005 (21 ans)</w:t>
            </w:r>
          </w:p>
        </w:tc>
        <w:tc>
          <w:tcPr>
            <w:tcW w:type="dxa" w:w="737"/>
            <w:shd w:val="clear" w:color="auto" w:fill="FFFFFF"/>
          </w:tcPr>
          <w:p>
            <w:pPr>
              <w:jc w:val="center"/>
            </w:pPr>
            <w:r>
              <w:rPr>
                <w:color w:val="C0392B"/>
                <w:sz w:val="14"/>
              </w:rPr>
              <w:t>🔴 Très vétuste</w:t>
            </w:r>
          </w:p>
        </w:tc>
        <w:tc>
          <w:tcPr>
            <w:tcW w:type="dxa" w:w="794"/>
            <w:shd w:val="clear" w:color="auto" w:fill="FFFFFF"/>
          </w:tcPr>
          <w:p>
            <w:pPr>
              <w:jc w:val="center"/>
            </w:pPr>
            <w:r>
              <w:rPr>
                <w:sz w:val="14"/>
              </w:rPr>
              <w:t>60 000 kWh</w:t>
            </w:r>
          </w:p>
        </w:tc>
        <w:tc>
          <w:tcPr>
            <w:tcW w:type="dxa" w:w="907"/>
            <w:shd w:val="clear" w:color="auto" w:fill="FFFFFF"/>
          </w:tcPr>
          <w:p>
            <w:pPr>
              <w:jc w:val="center"/>
            </w:pPr>
            <w:r>
              <w:rPr>
                <w:sz w:val="14"/>
              </w:rPr>
              <w:t>15 % → 9 000 kWh</w:t>
            </w:r>
          </w:p>
        </w:tc>
        <w:tc>
          <w:tcPr>
            <w:tcW w:type="dxa" w:w="794"/>
            <w:shd w:val="clear" w:color="auto" w:fill="FFFFFF"/>
          </w:tcPr>
          <w:p>
            <w:pPr>
              <w:jc w:val="center"/>
            </w:pPr>
            <w:r>
              <w:rPr>
                <w:color w:val="1A7A45"/>
                <w:sz w:val="14"/>
              </w:rPr>
              <w:t>774 €</w:t>
            </w:r>
          </w:p>
        </w:tc>
        <w:tc>
          <w:tcPr>
            <w:tcW w:type="dxa" w:w="1417"/>
            <w:shd w:val="clear" w:color="auto" w:fill="FFFFFF"/>
          </w:tcPr>
          <w:p>
            <w:pPr>
              <w:jc w:val="center"/>
            </w:pPr>
            <w:r>
              <w:rPr>
                <w:sz w:val="14"/>
              </w:rPr>
              <w:t>4 500 — 10 500 €</w:t>
            </w:r>
          </w:p>
        </w:tc>
      </w:tr>
      <w:tr>
        <w:tc>
          <w:tcPr>
            <w:tcW w:type="dxa" w:w="227"/>
            <w:shd w:val="clear" w:color="auto" w:fill="EBF3FA"/>
          </w:tcPr>
          <w:p>
            <w:pPr>
              <w:jc w:val="center"/>
            </w:pPr>
            <w:r>
              <w:rPr>
                <w:sz w:val="14"/>
              </w:rPr>
              <w:t>16</w:t>
            </w:r>
          </w:p>
        </w:tc>
        <w:tc>
          <w:tcPr>
            <w:tcW w:type="dxa" w:w="1587"/>
            <w:shd w:val="clear" w:color="auto" w:fill="EBF3FA"/>
          </w:tcPr>
          <w:p>
            <w:pPr>
              <w:spacing w:before="20" w:after="0"/>
            </w:pPr>
            <w:r>
              <w:rPr>
                <w:b/>
                <w:sz w:val="16"/>
              </w:rPr>
              <w:t>Éclairage industriel</w:t>
            </w:r>
          </w:p>
          <w:p>
            <w:pPr>
              <w:spacing w:before="0" w:after="20"/>
            </w:pPr>
            <w:r>
              <w:rPr>
                <w:i/>
                <w:color w:val="555555"/>
                <w:sz w:val="14"/>
              </w:rPr>
              <w:t>Osram HQL 400W</w:t>
            </w:r>
          </w:p>
        </w:tc>
        <w:tc>
          <w:tcPr>
            <w:tcW w:type="dxa" w:w="850"/>
            <w:shd w:val="clear" w:color="auto" w:fill="EBF3FA"/>
          </w:tcPr>
          <w:p>
            <w:pPr>
              <w:jc w:val="center"/>
            </w:pPr>
            <w:r>
              <w:rPr>
                <w:sz w:val="14"/>
              </w:rPr>
              <w:t>Zone de coulée</w:t>
            </w:r>
          </w:p>
        </w:tc>
        <w:tc>
          <w:tcPr>
            <w:tcW w:type="dxa" w:w="850"/>
            <w:shd w:val="clear" w:color="auto" w:fill="EBF3FA"/>
          </w:tcPr>
          <w:p>
            <w:pPr>
              <w:jc w:val="center"/>
            </w:pPr>
            <w:r>
              <w:rPr>
                <w:sz w:val="14"/>
              </w:rPr>
              <w:t>2003 (23 ans)</w:t>
            </w:r>
          </w:p>
        </w:tc>
        <w:tc>
          <w:tcPr>
            <w:tcW w:type="dxa" w:w="737"/>
            <w:shd w:val="clear" w:color="auto" w:fill="EBF3FA"/>
          </w:tcPr>
          <w:p>
            <w:pPr>
              <w:jc w:val="center"/>
            </w:pPr>
            <w:r>
              <w:rPr>
                <w:color w:val="C0392B"/>
                <w:sz w:val="14"/>
              </w:rPr>
              <w:t>🔴 Très vétuste</w:t>
            </w:r>
          </w:p>
        </w:tc>
        <w:tc>
          <w:tcPr>
            <w:tcW w:type="dxa" w:w="794"/>
            <w:shd w:val="clear" w:color="auto" w:fill="EBF3FA"/>
          </w:tcPr>
          <w:p>
            <w:pPr>
              <w:jc w:val="center"/>
            </w:pPr>
            <w:r>
              <w:rPr>
                <w:sz w:val="14"/>
              </w:rPr>
              <w:t>43 200 kWh</w:t>
            </w:r>
          </w:p>
        </w:tc>
        <w:tc>
          <w:tcPr>
            <w:tcW w:type="dxa" w:w="907"/>
            <w:shd w:val="clear" w:color="auto" w:fill="EBF3FA"/>
          </w:tcPr>
          <w:p>
            <w:pPr>
              <w:jc w:val="center"/>
            </w:pPr>
            <w:r>
              <w:rPr>
                <w:sz w:val="14"/>
              </w:rPr>
              <w:t>15 % → 6 480 kWh</w:t>
            </w:r>
          </w:p>
        </w:tc>
        <w:tc>
          <w:tcPr>
            <w:tcW w:type="dxa" w:w="794"/>
            <w:shd w:val="clear" w:color="auto" w:fill="EBF3FA"/>
          </w:tcPr>
          <w:p>
            <w:pPr>
              <w:jc w:val="center"/>
            </w:pPr>
            <w:r>
              <w:rPr>
                <w:color w:val="1A7A45"/>
                <w:sz w:val="14"/>
              </w:rPr>
              <w:t>557 €</w:t>
            </w:r>
          </w:p>
        </w:tc>
        <w:tc>
          <w:tcPr>
            <w:tcW w:type="dxa" w:w="1417"/>
            <w:shd w:val="clear" w:color="auto" w:fill="EBF3FA"/>
          </w:tcPr>
          <w:p>
            <w:pPr>
              <w:jc w:val="center"/>
            </w:pPr>
            <w:r>
              <w:rPr>
                <w:sz w:val="14"/>
              </w:rPr>
              <w:t>2 160 — 5 040 €</w:t>
            </w:r>
          </w:p>
        </w:tc>
      </w:tr>
      <w:tr>
        <w:tc>
          <w:tcPr>
            <w:tcW w:type="dxa" w:w="227"/>
            <w:shd w:val="clear" w:color="auto" w:fill="FFFFFF"/>
          </w:tcPr>
          <w:p>
            <w:pPr>
              <w:jc w:val="center"/>
            </w:pPr>
            <w:r>
              <w:rPr>
                <w:sz w:val="14"/>
              </w:rPr>
              <w:t>17</w:t>
            </w:r>
          </w:p>
        </w:tc>
        <w:tc>
          <w:tcPr>
            <w:tcW w:type="dxa" w:w="1587"/>
            <w:shd w:val="clear" w:color="auto" w:fill="FFFFFF"/>
          </w:tcPr>
          <w:p>
            <w:pPr>
              <w:spacing w:before="20" w:after="0"/>
            </w:pPr>
            <w:r>
              <w:rPr>
                <w:b/>
                <w:sz w:val="16"/>
              </w:rPr>
              <w:t>Pont roulant</w:t>
            </w:r>
          </w:p>
          <w:p>
            <w:pPr>
              <w:spacing w:before="0" w:after="20"/>
            </w:pPr>
            <w:r>
              <w:rPr>
                <w:i/>
                <w:color w:val="555555"/>
                <w:sz w:val="14"/>
              </w:rPr>
              <w:t>Konecranes CXT 5T</w:t>
            </w:r>
          </w:p>
        </w:tc>
        <w:tc>
          <w:tcPr>
            <w:tcW w:type="dxa" w:w="850"/>
            <w:shd w:val="clear" w:color="auto" w:fill="FFFFFF"/>
          </w:tcPr>
          <w:p>
            <w:pPr>
              <w:jc w:val="center"/>
            </w:pPr>
            <w:r>
              <w:rPr>
                <w:sz w:val="14"/>
              </w:rPr>
              <w:t>Zone de coulée</w:t>
            </w:r>
          </w:p>
        </w:tc>
        <w:tc>
          <w:tcPr>
            <w:tcW w:type="dxa" w:w="850"/>
            <w:shd w:val="clear" w:color="auto" w:fill="FFFFFF"/>
          </w:tcPr>
          <w:p>
            <w:pPr>
              <w:jc w:val="center"/>
            </w:pPr>
            <w:r>
              <w:rPr>
                <w:sz w:val="14"/>
              </w:rPr>
              <w:t>2010 (16 ans)</w:t>
            </w:r>
          </w:p>
        </w:tc>
        <w:tc>
          <w:tcPr>
            <w:tcW w:type="dxa" w:w="737"/>
            <w:shd w:val="clear" w:color="auto" w:fill="FFFFFF"/>
          </w:tcPr>
          <w:p>
            <w:pPr>
              <w:jc w:val="center"/>
            </w:pPr>
            <w:r>
              <w:rPr>
                <w:color w:val="C45A00"/>
                <w:sz w:val="14"/>
              </w:rPr>
              <w:t>🟠 Vétuste</w:t>
            </w:r>
          </w:p>
        </w:tc>
        <w:tc>
          <w:tcPr>
            <w:tcW w:type="dxa" w:w="794"/>
            <w:shd w:val="clear" w:color="auto" w:fill="FFFFFF"/>
          </w:tcPr>
          <w:p>
            <w:pPr>
              <w:jc w:val="center"/>
            </w:pPr>
            <w:r>
              <w:rPr>
                <w:sz w:val="14"/>
              </w:rPr>
              <w:t>49 500 kWh</w:t>
            </w:r>
          </w:p>
        </w:tc>
        <w:tc>
          <w:tcPr>
            <w:tcW w:type="dxa" w:w="907"/>
            <w:shd w:val="clear" w:color="auto" w:fill="FFFFFF"/>
          </w:tcPr>
          <w:p>
            <w:pPr>
              <w:jc w:val="center"/>
            </w:pPr>
            <w:r>
              <w:rPr>
                <w:sz w:val="14"/>
              </w:rPr>
              <w:t>10 % → 4 950 kWh</w:t>
            </w:r>
          </w:p>
        </w:tc>
        <w:tc>
          <w:tcPr>
            <w:tcW w:type="dxa" w:w="794"/>
            <w:shd w:val="clear" w:color="auto" w:fill="FFFFFF"/>
          </w:tcPr>
          <w:p>
            <w:pPr>
              <w:jc w:val="center"/>
            </w:pPr>
            <w:r>
              <w:rPr>
                <w:color w:val="1A7A45"/>
                <w:sz w:val="14"/>
              </w:rPr>
              <w:t>426 €</w:t>
            </w:r>
          </w:p>
        </w:tc>
        <w:tc>
          <w:tcPr>
            <w:tcW w:type="dxa" w:w="1417"/>
            <w:shd w:val="clear" w:color="auto" w:fill="FFFFFF"/>
          </w:tcPr>
          <w:p>
            <w:pPr>
              <w:jc w:val="center"/>
            </w:pPr>
            <w:r>
              <w:rPr>
                <w:sz w:val="14"/>
              </w:rPr>
              <w:t>3 300 — 7 700 €</w:t>
            </w:r>
          </w:p>
        </w:tc>
      </w:tr>
      <w:tr>
        <w:tc>
          <w:tcPr>
            <w:tcW w:type="dxa" w:w="227"/>
            <w:shd w:val="clear" w:color="auto" w:fill="EBF3FA"/>
          </w:tcPr>
          <w:p>
            <w:pPr>
              <w:jc w:val="center"/>
            </w:pPr>
            <w:r>
              <w:rPr>
                <w:sz w:val="14"/>
              </w:rPr>
              <w:t>18</w:t>
            </w:r>
          </w:p>
        </w:tc>
        <w:tc>
          <w:tcPr>
            <w:tcW w:type="dxa" w:w="1587"/>
            <w:shd w:val="clear" w:color="auto" w:fill="EBF3FA"/>
          </w:tcPr>
          <w:p>
            <w:pPr>
              <w:spacing w:before="20" w:after="0"/>
            </w:pPr>
            <w:r>
              <w:rPr>
                <w:b/>
                <w:sz w:val="16"/>
              </w:rPr>
              <w:t>Éclairage industriel</w:t>
            </w:r>
          </w:p>
          <w:p>
            <w:pPr>
              <w:spacing w:before="0" w:after="20"/>
            </w:pPr>
            <w:r>
              <w:rPr>
                <w:i/>
                <w:color w:val="555555"/>
                <w:sz w:val="14"/>
              </w:rPr>
              <w:t>Osram HQL 250W</w:t>
            </w:r>
          </w:p>
        </w:tc>
        <w:tc>
          <w:tcPr>
            <w:tcW w:type="dxa" w:w="850"/>
            <w:shd w:val="clear" w:color="auto" w:fill="EBF3FA"/>
          </w:tcPr>
          <w:p>
            <w:pPr>
              <w:jc w:val="center"/>
            </w:pPr>
            <w:r>
              <w:rPr>
                <w:sz w:val="14"/>
              </w:rPr>
              <w:t>Atelier finition</w:t>
            </w:r>
          </w:p>
        </w:tc>
        <w:tc>
          <w:tcPr>
            <w:tcW w:type="dxa" w:w="850"/>
            <w:shd w:val="clear" w:color="auto" w:fill="EBF3FA"/>
          </w:tcPr>
          <w:p>
            <w:pPr>
              <w:jc w:val="center"/>
            </w:pPr>
            <w:r>
              <w:rPr>
                <w:sz w:val="14"/>
              </w:rPr>
              <w:t>2005 (21 ans)</w:t>
            </w:r>
          </w:p>
        </w:tc>
        <w:tc>
          <w:tcPr>
            <w:tcW w:type="dxa" w:w="737"/>
            <w:shd w:val="clear" w:color="auto" w:fill="EBF3FA"/>
          </w:tcPr>
          <w:p>
            <w:pPr>
              <w:jc w:val="center"/>
            </w:pPr>
            <w:r>
              <w:rPr>
                <w:color w:val="C0392B"/>
                <w:sz w:val="14"/>
              </w:rPr>
              <w:t>🔴 Très vétuste</w:t>
            </w:r>
          </w:p>
        </w:tc>
        <w:tc>
          <w:tcPr>
            <w:tcW w:type="dxa" w:w="794"/>
            <w:shd w:val="clear" w:color="auto" w:fill="EBF3FA"/>
          </w:tcPr>
          <w:p>
            <w:pPr>
              <w:jc w:val="center"/>
            </w:pPr>
            <w:r>
              <w:rPr>
                <w:sz w:val="14"/>
              </w:rPr>
              <w:t>30 000 kWh</w:t>
            </w:r>
          </w:p>
        </w:tc>
        <w:tc>
          <w:tcPr>
            <w:tcW w:type="dxa" w:w="907"/>
            <w:shd w:val="clear" w:color="auto" w:fill="EBF3FA"/>
          </w:tcPr>
          <w:p>
            <w:pPr>
              <w:jc w:val="center"/>
            </w:pPr>
            <w:r>
              <w:rPr>
                <w:sz w:val="14"/>
              </w:rPr>
              <w:t>15 % → 4 500 kWh</w:t>
            </w:r>
          </w:p>
        </w:tc>
        <w:tc>
          <w:tcPr>
            <w:tcW w:type="dxa" w:w="794"/>
            <w:shd w:val="clear" w:color="auto" w:fill="EBF3FA"/>
          </w:tcPr>
          <w:p>
            <w:pPr>
              <w:jc w:val="center"/>
            </w:pPr>
            <w:r>
              <w:rPr>
                <w:color w:val="1A7A45"/>
                <w:sz w:val="14"/>
              </w:rPr>
              <w:t>387 €</w:t>
            </w:r>
          </w:p>
        </w:tc>
        <w:tc>
          <w:tcPr>
            <w:tcW w:type="dxa" w:w="1417"/>
            <w:shd w:val="clear" w:color="auto" w:fill="EBF3FA"/>
          </w:tcPr>
          <w:p>
            <w:pPr>
              <w:jc w:val="center"/>
            </w:pPr>
            <w:r>
              <w:rPr>
                <w:sz w:val="14"/>
              </w:rPr>
              <w:t>1 800 — 4 200 €</w:t>
            </w:r>
          </w:p>
        </w:tc>
      </w:tr>
      <w:tr>
        <w:tc>
          <w:tcPr>
            <w:tcW w:type="dxa" w:w="227"/>
            <w:shd w:val="clear" w:color="auto" w:fill="FFFFFF"/>
          </w:tcPr>
          <w:p>
            <w:pPr>
              <w:jc w:val="center"/>
            </w:pPr>
            <w:r>
              <w:rPr>
                <w:sz w:val="14"/>
              </w:rPr>
              <w:t>19</w:t>
            </w:r>
          </w:p>
        </w:tc>
        <w:tc>
          <w:tcPr>
            <w:tcW w:type="dxa" w:w="1587"/>
            <w:shd w:val="clear" w:color="auto" w:fill="FFFFFF"/>
          </w:tcPr>
          <w:p>
            <w:pPr>
              <w:spacing w:before="20" w:after="0"/>
            </w:pPr>
            <w:r>
              <w:rPr>
                <w:b/>
                <w:sz w:val="16"/>
              </w:rPr>
              <w:t>Pont roulant</w:t>
            </w:r>
          </w:p>
          <w:p>
            <w:pPr>
              <w:spacing w:before="0" w:after="20"/>
            </w:pPr>
            <w:r>
              <w:rPr>
                <w:i/>
                <w:color w:val="555555"/>
                <w:sz w:val="14"/>
              </w:rPr>
              <w:t>Verlinde EUROBLOC VT5</w:t>
            </w:r>
          </w:p>
        </w:tc>
        <w:tc>
          <w:tcPr>
            <w:tcW w:type="dxa" w:w="850"/>
            <w:shd w:val="clear" w:color="auto" w:fill="FFFFFF"/>
          </w:tcPr>
          <w:p>
            <w:pPr>
              <w:jc w:val="center"/>
            </w:pPr>
            <w:r>
              <w:rPr>
                <w:sz w:val="14"/>
              </w:rPr>
              <w:t>Traitement thermique</w:t>
            </w:r>
          </w:p>
        </w:tc>
        <w:tc>
          <w:tcPr>
            <w:tcW w:type="dxa" w:w="850"/>
            <w:shd w:val="clear" w:color="auto" w:fill="FFFFFF"/>
          </w:tcPr>
          <w:p>
            <w:pPr>
              <w:jc w:val="center"/>
            </w:pPr>
            <w:r>
              <w:rPr>
                <w:sz w:val="14"/>
              </w:rPr>
              <w:t>2012 (14 ans)</w:t>
            </w:r>
          </w:p>
        </w:tc>
        <w:tc>
          <w:tcPr>
            <w:tcW w:type="dxa" w:w="737"/>
            <w:shd w:val="clear" w:color="auto" w:fill="FFFFFF"/>
          </w:tcPr>
          <w:p>
            <w:pPr>
              <w:jc w:val="center"/>
            </w:pPr>
            <w:r>
              <w:rPr>
                <w:sz w:val="14"/>
              </w:rPr>
              <w:t>🟡 À surveiller</w:t>
            </w:r>
          </w:p>
        </w:tc>
        <w:tc>
          <w:tcPr>
            <w:tcW w:type="dxa" w:w="794"/>
            <w:shd w:val="clear" w:color="auto" w:fill="FFFFFF"/>
          </w:tcPr>
          <w:p>
            <w:pPr>
              <w:jc w:val="center"/>
            </w:pPr>
            <w:r>
              <w:rPr>
                <w:sz w:val="14"/>
              </w:rPr>
              <w:t>36 000 kWh</w:t>
            </w:r>
          </w:p>
        </w:tc>
        <w:tc>
          <w:tcPr>
            <w:tcW w:type="dxa" w:w="907"/>
            <w:shd w:val="clear" w:color="auto" w:fill="FFFFFF"/>
          </w:tcPr>
          <w:p>
            <w:pPr>
              <w:jc w:val="center"/>
            </w:pPr>
            <w:r>
              <w:rPr>
                <w:sz w:val="14"/>
              </w:rPr>
              <w:t>5 % → 1 800 kWh</w:t>
            </w:r>
          </w:p>
        </w:tc>
        <w:tc>
          <w:tcPr>
            <w:tcW w:type="dxa" w:w="794"/>
            <w:shd w:val="clear" w:color="auto" w:fill="FFFFFF"/>
          </w:tcPr>
          <w:p>
            <w:pPr>
              <w:jc w:val="center"/>
            </w:pPr>
            <w:r>
              <w:rPr>
                <w:color w:val="1A7A45"/>
                <w:sz w:val="14"/>
              </w:rPr>
              <w:t>155 €</w:t>
            </w:r>
          </w:p>
        </w:tc>
        <w:tc>
          <w:tcPr>
            <w:tcW w:type="dxa" w:w="1417"/>
            <w:shd w:val="clear" w:color="auto" w:fill="FFFFFF"/>
          </w:tcPr>
          <w:p>
            <w:pPr>
              <w:jc w:val="center"/>
            </w:pPr>
            <w:r>
              <w:rPr>
                <w:sz w:val="14"/>
              </w:rPr>
              <w:t>2 400 — 5 600 €</w:t>
            </w:r>
          </w:p>
        </w:tc>
      </w:tr>
      <w:tr>
        <w:tc>
          <w:tcPr>
            <w:tcW w:type="dxa" w:w="227"/>
            <w:shd w:val="clear" w:color="auto" w:fill="EBF3FA"/>
          </w:tcPr>
          <w:p>
            <w:pPr>
              <w:jc w:val="center"/>
            </w:pPr>
            <w:r>
              <w:rPr>
                <w:sz w:val="14"/>
              </w:rPr>
              <w:t>20</w:t>
            </w:r>
          </w:p>
        </w:tc>
        <w:tc>
          <w:tcPr>
            <w:tcW w:type="dxa" w:w="1587"/>
            <w:shd w:val="clear" w:color="auto" w:fill="EBF3FA"/>
          </w:tcPr>
          <w:p>
            <w:pPr>
              <w:spacing w:before="20" w:after="0"/>
            </w:pPr>
            <w:r>
              <w:rPr>
                <w:b/>
                <w:sz w:val="16"/>
              </w:rPr>
              <w:t>Chambre froide positive</w:t>
            </w:r>
          </w:p>
          <w:p>
            <w:pPr>
              <w:spacing w:before="0" w:after="20"/>
            </w:pPr>
            <w:r>
              <w:rPr>
                <w:i/>
                <w:color w:val="555555"/>
                <w:sz w:val="14"/>
              </w:rPr>
              <w:t>Zanotti MGM315</w:t>
            </w:r>
          </w:p>
        </w:tc>
        <w:tc>
          <w:tcPr>
            <w:tcW w:type="dxa" w:w="850"/>
            <w:shd w:val="clear" w:color="auto" w:fill="EBF3FA"/>
          </w:tcPr>
          <w:p>
            <w:pPr>
              <w:jc w:val="center"/>
            </w:pPr>
            <w:r>
              <w:rPr>
                <w:sz w:val="14"/>
              </w:rPr>
              <w:t>Réfectoire</w:t>
            </w:r>
          </w:p>
        </w:tc>
        <w:tc>
          <w:tcPr>
            <w:tcW w:type="dxa" w:w="850"/>
            <w:shd w:val="clear" w:color="auto" w:fill="EBF3FA"/>
          </w:tcPr>
          <w:p>
            <w:pPr>
              <w:jc w:val="center"/>
            </w:pPr>
            <w:r>
              <w:rPr>
                <w:sz w:val="14"/>
              </w:rPr>
              <w:t>2014 (12 ans)</w:t>
            </w:r>
          </w:p>
        </w:tc>
        <w:tc>
          <w:tcPr>
            <w:tcW w:type="dxa" w:w="737"/>
            <w:shd w:val="clear" w:color="auto" w:fill="EBF3FA"/>
          </w:tcPr>
          <w:p>
            <w:pPr>
              <w:jc w:val="center"/>
            </w:pPr>
            <w:r>
              <w:rPr>
                <w:sz w:val="14"/>
              </w:rPr>
              <w:t>🟡 À surveiller</w:t>
            </w:r>
          </w:p>
        </w:tc>
        <w:tc>
          <w:tcPr>
            <w:tcW w:type="dxa" w:w="794"/>
            <w:shd w:val="clear" w:color="auto" w:fill="EBF3FA"/>
          </w:tcPr>
          <w:p>
            <w:pPr>
              <w:jc w:val="center"/>
            </w:pPr>
            <w:r>
              <w:rPr>
                <w:sz w:val="14"/>
              </w:rPr>
              <w:t>35 040 kWh</w:t>
            </w:r>
          </w:p>
        </w:tc>
        <w:tc>
          <w:tcPr>
            <w:tcW w:type="dxa" w:w="907"/>
            <w:shd w:val="clear" w:color="auto" w:fill="EBF3FA"/>
          </w:tcPr>
          <w:p>
            <w:pPr>
              <w:jc w:val="center"/>
            </w:pPr>
            <w:r>
              <w:rPr>
                <w:sz w:val="14"/>
              </w:rPr>
              <w:t>5 % → 1 752 kWh</w:t>
            </w:r>
          </w:p>
        </w:tc>
        <w:tc>
          <w:tcPr>
            <w:tcW w:type="dxa" w:w="794"/>
            <w:shd w:val="clear" w:color="auto" w:fill="EBF3FA"/>
          </w:tcPr>
          <w:p>
            <w:pPr>
              <w:jc w:val="center"/>
            </w:pPr>
            <w:r>
              <w:rPr>
                <w:color w:val="1A7A45"/>
                <w:sz w:val="14"/>
              </w:rPr>
              <w:t>151 €</w:t>
            </w:r>
          </w:p>
        </w:tc>
        <w:tc>
          <w:tcPr>
            <w:tcW w:type="dxa" w:w="1417"/>
            <w:shd w:val="clear" w:color="auto" w:fill="EBF3FA"/>
          </w:tcPr>
          <w:p>
            <w:pPr>
              <w:jc w:val="center"/>
            </w:pPr>
            <w:r>
              <w:rPr>
                <w:sz w:val="14"/>
              </w:rPr>
              <w:t>1 200 — 2 800 €</w:t>
            </w:r>
          </w:p>
        </w:tc>
      </w:tr>
      <w:tr>
        <w:tc>
          <w:tcPr>
            <w:tcW w:type="dxa" w:w="227"/>
            <w:shd w:val="clear" w:color="auto" w:fill="FFFFFF"/>
          </w:tcPr>
          <w:p>
            <w:pPr>
              <w:jc w:val="center"/>
            </w:pPr>
            <w:r>
              <w:rPr>
                <w:sz w:val="14"/>
              </w:rPr>
              <w:t>21</w:t>
            </w:r>
          </w:p>
        </w:tc>
        <w:tc>
          <w:tcPr>
            <w:tcW w:type="dxa" w:w="1587"/>
            <w:shd w:val="clear" w:color="auto" w:fill="FFFFFF"/>
          </w:tcPr>
          <w:p>
            <w:pPr>
              <w:spacing w:before="20" w:after="0"/>
            </w:pPr>
            <w:r>
              <w:rPr>
                <w:b/>
                <w:sz w:val="16"/>
              </w:rPr>
              <w:t>Perceuse à colonne</w:t>
            </w:r>
          </w:p>
          <w:p>
            <w:pPr>
              <w:spacing w:before="0" w:after="20"/>
            </w:pPr>
            <w:r>
              <w:rPr>
                <w:i/>
                <w:color w:val="555555"/>
                <w:sz w:val="14"/>
              </w:rPr>
              <w:t>Alzmetall AB 40 SV</w:t>
            </w:r>
          </w:p>
        </w:tc>
        <w:tc>
          <w:tcPr>
            <w:tcW w:type="dxa" w:w="850"/>
            <w:shd w:val="clear" w:color="auto" w:fill="FFFFFF"/>
          </w:tcPr>
          <w:p>
            <w:pPr>
              <w:jc w:val="center"/>
            </w:pPr>
            <w:r>
              <w:rPr>
                <w:sz w:val="14"/>
              </w:rPr>
              <w:t>Atelier finition</w:t>
            </w:r>
          </w:p>
        </w:tc>
        <w:tc>
          <w:tcPr>
            <w:tcW w:type="dxa" w:w="850"/>
            <w:shd w:val="clear" w:color="auto" w:fill="FFFFFF"/>
          </w:tcPr>
          <w:p>
            <w:pPr>
              <w:jc w:val="center"/>
            </w:pPr>
            <w:r>
              <w:rPr>
                <w:sz w:val="14"/>
              </w:rPr>
              <w:t>2006 (20 ans)</w:t>
            </w:r>
          </w:p>
        </w:tc>
        <w:tc>
          <w:tcPr>
            <w:tcW w:type="dxa" w:w="737"/>
            <w:shd w:val="clear" w:color="auto" w:fill="FFFFFF"/>
          </w:tcPr>
          <w:p>
            <w:pPr>
              <w:jc w:val="center"/>
            </w:pPr>
            <w:r>
              <w:rPr>
                <w:color w:val="C0392B"/>
                <w:sz w:val="14"/>
              </w:rPr>
              <w:t>🔴 Très vétuste</w:t>
            </w:r>
          </w:p>
        </w:tc>
        <w:tc>
          <w:tcPr>
            <w:tcW w:type="dxa" w:w="794"/>
            <w:shd w:val="clear" w:color="auto" w:fill="FFFFFF"/>
          </w:tcPr>
          <w:p>
            <w:pPr>
              <w:jc w:val="center"/>
            </w:pPr>
            <w:r>
              <w:rPr>
                <w:sz w:val="14"/>
              </w:rPr>
              <w:t>10 000 kWh</w:t>
            </w:r>
          </w:p>
        </w:tc>
        <w:tc>
          <w:tcPr>
            <w:tcW w:type="dxa" w:w="907"/>
            <w:shd w:val="clear" w:color="auto" w:fill="FFFFFF"/>
          </w:tcPr>
          <w:p>
            <w:pPr>
              <w:jc w:val="center"/>
            </w:pPr>
            <w:r>
              <w:rPr>
                <w:sz w:val="14"/>
              </w:rPr>
              <w:t>15 % → 1 500 kWh</w:t>
            </w:r>
          </w:p>
        </w:tc>
        <w:tc>
          <w:tcPr>
            <w:tcW w:type="dxa" w:w="794"/>
            <w:shd w:val="clear" w:color="auto" w:fill="FFFFFF"/>
          </w:tcPr>
          <w:p>
            <w:pPr>
              <w:jc w:val="center"/>
            </w:pPr>
            <w:r>
              <w:rPr>
                <w:color w:val="1A7A45"/>
                <w:sz w:val="14"/>
              </w:rPr>
              <w:t>129 €</w:t>
            </w:r>
          </w:p>
        </w:tc>
        <w:tc>
          <w:tcPr>
            <w:tcW w:type="dxa" w:w="1417"/>
            <w:shd w:val="clear" w:color="auto" w:fill="FFFFFF"/>
          </w:tcPr>
          <w:p>
            <w:pPr>
              <w:jc w:val="center"/>
            </w:pPr>
            <w:r>
              <w:rPr>
                <w:sz w:val="14"/>
              </w:rPr>
              <w:t>1 200 — 2 800 €</w:t>
            </w:r>
          </w:p>
        </w:tc>
      </w:tr>
      <w:tr>
        <w:tc>
          <w:tcPr>
            <w:tcW w:type="dxa" w:w="227"/>
            <w:shd w:val="clear" w:color="auto" w:fill="EBF3FA"/>
          </w:tcPr>
          <w:p>
            <w:pPr>
              <w:jc w:val="center"/>
            </w:pPr>
            <w:r>
              <w:rPr>
                <w:sz w:val="14"/>
              </w:rPr>
              <w:t>22</w:t>
            </w:r>
          </w:p>
        </w:tc>
        <w:tc>
          <w:tcPr>
            <w:tcW w:type="dxa" w:w="1587"/>
            <w:shd w:val="clear" w:color="auto" w:fill="EBF3FA"/>
          </w:tcPr>
          <w:p>
            <w:pPr>
              <w:spacing w:before="20" w:after="0"/>
            </w:pPr>
            <w:r>
              <w:rPr>
                <w:b/>
                <w:sz w:val="16"/>
              </w:rPr>
              <w:t>Sécheur air comprimé</w:t>
            </w:r>
          </w:p>
          <w:p>
            <w:pPr>
              <w:spacing w:before="0" w:after="20"/>
            </w:pPr>
            <w:r>
              <w:rPr>
                <w:i/>
                <w:color w:val="555555"/>
                <w:sz w:val="14"/>
              </w:rPr>
              <w:t>Atlas Copco FD 150</w:t>
            </w:r>
          </w:p>
        </w:tc>
        <w:tc>
          <w:tcPr>
            <w:tcW w:type="dxa" w:w="850"/>
            <w:shd w:val="clear" w:color="auto" w:fill="EBF3FA"/>
          </w:tcPr>
          <w:p>
            <w:pPr>
              <w:jc w:val="center"/>
            </w:pPr>
            <w:r>
              <w:rPr>
                <w:sz w:val="14"/>
              </w:rPr>
              <w:t>Salle compresseurs</w:t>
            </w:r>
          </w:p>
        </w:tc>
        <w:tc>
          <w:tcPr>
            <w:tcW w:type="dxa" w:w="850"/>
            <w:shd w:val="clear" w:color="auto" w:fill="EBF3FA"/>
          </w:tcPr>
          <w:p>
            <w:pPr>
              <w:jc w:val="center"/>
            </w:pPr>
            <w:r>
              <w:rPr>
                <w:sz w:val="14"/>
              </w:rPr>
              <w:t>2016 (10 ans)</w:t>
            </w:r>
          </w:p>
        </w:tc>
        <w:tc>
          <w:tcPr>
            <w:tcW w:type="dxa" w:w="737"/>
            <w:shd w:val="clear" w:color="auto" w:fill="EBF3FA"/>
          </w:tcPr>
          <w:p>
            <w:pPr>
              <w:jc w:val="center"/>
            </w:pPr>
            <w:r>
              <w:rPr>
                <w:sz w:val="14"/>
              </w:rPr>
              <w:t>🟡 À surveiller</w:t>
            </w:r>
          </w:p>
        </w:tc>
        <w:tc>
          <w:tcPr>
            <w:tcW w:type="dxa" w:w="794"/>
            <w:shd w:val="clear" w:color="auto" w:fill="EBF3FA"/>
          </w:tcPr>
          <w:p>
            <w:pPr>
              <w:jc w:val="center"/>
            </w:pPr>
            <w:r>
              <w:rPr>
                <w:sz w:val="14"/>
              </w:rPr>
              <w:t>29 250 kWh</w:t>
            </w:r>
          </w:p>
        </w:tc>
        <w:tc>
          <w:tcPr>
            <w:tcW w:type="dxa" w:w="907"/>
            <w:shd w:val="clear" w:color="auto" w:fill="EBF3FA"/>
          </w:tcPr>
          <w:p>
            <w:pPr>
              <w:jc w:val="center"/>
            </w:pPr>
            <w:r>
              <w:rPr>
                <w:sz w:val="14"/>
              </w:rPr>
              <w:t>5 % → 1 462 kWh</w:t>
            </w:r>
          </w:p>
        </w:tc>
        <w:tc>
          <w:tcPr>
            <w:tcW w:type="dxa" w:w="794"/>
            <w:shd w:val="clear" w:color="auto" w:fill="EBF3FA"/>
          </w:tcPr>
          <w:p>
            <w:pPr>
              <w:jc w:val="center"/>
            </w:pPr>
            <w:r>
              <w:rPr>
                <w:color w:val="1A7A45"/>
                <w:sz w:val="14"/>
              </w:rPr>
              <w:t>126 €</w:t>
            </w:r>
          </w:p>
        </w:tc>
        <w:tc>
          <w:tcPr>
            <w:tcW w:type="dxa" w:w="1417"/>
            <w:shd w:val="clear" w:color="auto" w:fill="EBF3FA"/>
          </w:tcPr>
          <w:p>
            <w:pPr>
              <w:jc w:val="center"/>
            </w:pPr>
            <w:r>
              <w:rPr>
                <w:sz w:val="14"/>
              </w:rPr>
              <w:t>3 150 — 8 100 €</w:t>
            </w:r>
          </w:p>
        </w:tc>
      </w:tr>
      <w:tr>
        <w:tc>
          <w:tcPr>
            <w:tcW w:type="dxa" w:w="227"/>
            <w:shd w:val="clear" w:color="auto" w:fill="FFFFFF"/>
          </w:tcPr>
          <w:p>
            <w:pPr>
              <w:jc w:val="center"/>
            </w:pPr>
            <w:r>
              <w:rPr>
                <w:sz w:val="14"/>
              </w:rPr>
              <w:t>23</w:t>
            </w:r>
          </w:p>
        </w:tc>
        <w:tc>
          <w:tcPr>
            <w:tcW w:type="dxa" w:w="1587"/>
            <w:shd w:val="clear" w:color="auto" w:fill="FFFFFF"/>
          </w:tcPr>
          <w:p>
            <w:pPr>
              <w:spacing w:before="20" w:after="0"/>
            </w:pPr>
            <w:r>
              <w:rPr>
                <w:b/>
                <w:sz w:val="16"/>
              </w:rPr>
              <w:t>Éclairage bureau</w:t>
            </w:r>
          </w:p>
          <w:p>
            <w:pPr>
              <w:spacing w:before="0" w:after="20"/>
            </w:pPr>
            <w:r>
              <w:rPr>
                <w:i/>
                <w:color w:val="555555"/>
                <w:sz w:val="14"/>
              </w:rPr>
              <w:t>Philips Tubes T8 58W</w:t>
            </w:r>
          </w:p>
        </w:tc>
        <w:tc>
          <w:tcPr>
            <w:tcW w:type="dxa" w:w="850"/>
            <w:shd w:val="clear" w:color="auto" w:fill="FFFFFF"/>
          </w:tcPr>
          <w:p>
            <w:pPr>
              <w:jc w:val="center"/>
            </w:pPr>
            <w:r>
              <w:rPr>
                <w:sz w:val="14"/>
              </w:rPr>
              <w:t>Bureaux administration</w:t>
            </w:r>
          </w:p>
        </w:tc>
        <w:tc>
          <w:tcPr>
            <w:tcW w:type="dxa" w:w="850"/>
            <w:shd w:val="clear" w:color="auto" w:fill="FFFFFF"/>
          </w:tcPr>
          <w:p>
            <w:pPr>
              <w:jc w:val="center"/>
            </w:pPr>
            <w:r>
              <w:rPr>
                <w:sz w:val="14"/>
              </w:rPr>
              <w:t>2006 (20 ans)</w:t>
            </w:r>
          </w:p>
        </w:tc>
        <w:tc>
          <w:tcPr>
            <w:tcW w:type="dxa" w:w="737"/>
            <w:shd w:val="clear" w:color="auto" w:fill="FFFFFF"/>
          </w:tcPr>
          <w:p>
            <w:pPr>
              <w:jc w:val="center"/>
            </w:pPr>
            <w:r>
              <w:rPr>
                <w:color w:val="C0392B"/>
                <w:sz w:val="14"/>
              </w:rPr>
              <w:t>🔴 Très vétuste</w:t>
            </w:r>
          </w:p>
        </w:tc>
        <w:tc>
          <w:tcPr>
            <w:tcW w:type="dxa" w:w="794"/>
            <w:shd w:val="clear" w:color="auto" w:fill="FFFFFF"/>
          </w:tcPr>
          <w:p>
            <w:pPr>
              <w:jc w:val="center"/>
            </w:pPr>
            <w:r>
              <w:rPr>
                <w:sz w:val="14"/>
              </w:rPr>
              <w:t>6 090 kWh</w:t>
            </w:r>
          </w:p>
        </w:tc>
        <w:tc>
          <w:tcPr>
            <w:tcW w:type="dxa" w:w="907"/>
            <w:shd w:val="clear" w:color="auto" w:fill="FFFFFF"/>
          </w:tcPr>
          <w:p>
            <w:pPr>
              <w:jc w:val="center"/>
            </w:pPr>
            <w:r>
              <w:rPr>
                <w:sz w:val="14"/>
              </w:rPr>
              <w:t>15 % → 914 kWh</w:t>
            </w:r>
          </w:p>
        </w:tc>
        <w:tc>
          <w:tcPr>
            <w:tcW w:type="dxa" w:w="794"/>
            <w:shd w:val="clear" w:color="auto" w:fill="FFFFFF"/>
          </w:tcPr>
          <w:p>
            <w:pPr>
              <w:jc w:val="center"/>
            </w:pPr>
            <w:r>
              <w:rPr>
                <w:color w:val="1A7A45"/>
                <w:sz w:val="14"/>
              </w:rPr>
              <w:t>79 €</w:t>
            </w:r>
          </w:p>
        </w:tc>
        <w:tc>
          <w:tcPr>
            <w:tcW w:type="dxa" w:w="1417"/>
            <w:shd w:val="clear" w:color="auto" w:fill="FFFFFF"/>
          </w:tcPr>
          <w:p>
            <w:pPr>
              <w:jc w:val="center"/>
            </w:pPr>
            <w:r>
              <w:rPr>
                <w:sz w:val="14"/>
              </w:rPr>
              <w:t>720 — 1 680 €</w:t>
            </w:r>
          </w:p>
        </w:tc>
      </w:tr>
      <w:tr>
        <w:tc>
          <w:tcPr>
            <w:tcW w:type="dxa" w:w="227"/>
            <w:shd w:val="clear" w:color="auto" w:fill="EBF3FA"/>
          </w:tcPr>
          <w:p>
            <w:pPr>
              <w:jc w:val="center"/>
            </w:pPr>
            <w:r>
              <w:rPr>
                <w:sz w:val="14"/>
              </w:rPr>
              <w:t>24</w:t>
            </w:r>
          </w:p>
        </w:tc>
        <w:tc>
          <w:tcPr>
            <w:tcW w:type="dxa" w:w="1587"/>
            <w:shd w:val="clear" w:color="auto" w:fill="EBF3FA"/>
          </w:tcPr>
          <w:p>
            <w:pPr>
              <w:spacing w:before="20" w:after="0"/>
            </w:pPr>
            <w:r>
              <w:rPr>
                <w:b/>
                <w:sz w:val="16"/>
              </w:rPr>
              <w:t>Chauffe-eau électrique</w:t>
            </w:r>
          </w:p>
          <w:p>
            <w:pPr>
              <w:spacing w:before="0" w:after="20"/>
            </w:pPr>
            <w:r>
              <w:rPr>
                <w:i/>
                <w:color w:val="555555"/>
                <w:sz w:val="14"/>
              </w:rPr>
              <w:t>Atlantic Vizengo 300L</w:t>
            </w:r>
          </w:p>
        </w:tc>
        <w:tc>
          <w:tcPr>
            <w:tcW w:type="dxa" w:w="850"/>
            <w:shd w:val="clear" w:color="auto" w:fill="EBF3FA"/>
          </w:tcPr>
          <w:p>
            <w:pPr>
              <w:jc w:val="center"/>
            </w:pPr>
            <w:r>
              <w:rPr>
                <w:sz w:val="14"/>
              </w:rPr>
              <w:t>Vestiaires</w:t>
            </w:r>
          </w:p>
        </w:tc>
        <w:tc>
          <w:tcPr>
            <w:tcW w:type="dxa" w:w="850"/>
            <w:shd w:val="clear" w:color="auto" w:fill="EBF3FA"/>
          </w:tcPr>
          <w:p>
            <w:pPr>
              <w:jc w:val="center"/>
            </w:pPr>
            <w:r>
              <w:rPr>
                <w:sz w:val="14"/>
              </w:rPr>
              <w:t>2016 (10 ans)</w:t>
            </w:r>
          </w:p>
        </w:tc>
        <w:tc>
          <w:tcPr>
            <w:tcW w:type="dxa" w:w="737"/>
            <w:shd w:val="clear" w:color="auto" w:fill="EBF3FA"/>
          </w:tcPr>
          <w:p>
            <w:pPr>
              <w:jc w:val="center"/>
            </w:pPr>
            <w:r>
              <w:rPr>
                <w:sz w:val="14"/>
              </w:rPr>
              <w:t>🟡 À surveiller</w:t>
            </w:r>
          </w:p>
        </w:tc>
        <w:tc>
          <w:tcPr>
            <w:tcW w:type="dxa" w:w="794"/>
            <w:shd w:val="clear" w:color="auto" w:fill="EBF3FA"/>
          </w:tcPr>
          <w:p>
            <w:pPr>
              <w:jc w:val="center"/>
            </w:pPr>
            <w:r>
              <w:rPr>
                <w:sz w:val="14"/>
              </w:rPr>
              <w:t>13 500 kWh</w:t>
            </w:r>
          </w:p>
        </w:tc>
        <w:tc>
          <w:tcPr>
            <w:tcW w:type="dxa" w:w="907"/>
            <w:shd w:val="clear" w:color="auto" w:fill="EBF3FA"/>
          </w:tcPr>
          <w:p>
            <w:pPr>
              <w:jc w:val="center"/>
            </w:pPr>
            <w:r>
              <w:rPr>
                <w:sz w:val="14"/>
              </w:rPr>
              <w:t>5 % → 675 kWh</w:t>
            </w:r>
          </w:p>
        </w:tc>
        <w:tc>
          <w:tcPr>
            <w:tcW w:type="dxa" w:w="794"/>
            <w:shd w:val="clear" w:color="auto" w:fill="EBF3FA"/>
          </w:tcPr>
          <w:p>
            <w:pPr>
              <w:jc w:val="center"/>
            </w:pPr>
            <w:r>
              <w:rPr>
                <w:color w:val="1A7A45"/>
                <w:sz w:val="14"/>
              </w:rPr>
              <w:t>58 €</w:t>
            </w:r>
          </w:p>
        </w:tc>
        <w:tc>
          <w:tcPr>
            <w:tcW w:type="dxa" w:w="1417"/>
            <w:shd w:val="clear" w:color="auto" w:fill="EBF3FA"/>
          </w:tcPr>
          <w:p>
            <w:pPr>
              <w:jc w:val="center"/>
            </w:pPr>
            <w:r>
              <w:rPr>
                <w:sz w:val="14"/>
              </w:rPr>
              <w:t>1 500 — 2 700 €</w:t>
            </w:r>
          </w:p>
        </w:tc>
      </w:tr>
      <w:tr>
        <w:tc>
          <w:tcPr>
            <w:tcW w:type="dxa" w:w="227"/>
            <w:shd w:val="clear" w:color="auto" w:fill="FFFFFF"/>
          </w:tcPr>
          <w:p>
            <w:pPr>
              <w:jc w:val="center"/>
            </w:pPr>
            <w:r>
              <w:rPr>
                <w:sz w:val="14"/>
              </w:rPr>
              <w:t>25</w:t>
            </w:r>
          </w:p>
        </w:tc>
        <w:tc>
          <w:tcPr>
            <w:tcW w:type="dxa" w:w="1587"/>
            <w:shd w:val="clear" w:color="auto" w:fill="FFFFFF"/>
          </w:tcPr>
          <w:p>
            <w:pPr>
              <w:spacing w:before="20" w:after="0"/>
            </w:pPr>
            <w:r>
              <w:rPr>
                <w:b/>
                <w:sz w:val="16"/>
              </w:rPr>
              <w:t>Machine de traction</w:t>
            </w:r>
          </w:p>
          <w:p>
            <w:pPr>
              <w:spacing w:before="0" w:after="20"/>
            </w:pPr>
            <w:r>
              <w:rPr>
                <w:i/>
                <w:color w:val="555555"/>
                <w:sz w:val="14"/>
              </w:rPr>
              <w:t>Instron 5982</w:t>
            </w:r>
          </w:p>
        </w:tc>
        <w:tc>
          <w:tcPr>
            <w:tcW w:type="dxa" w:w="850"/>
            <w:shd w:val="clear" w:color="auto" w:fill="FFFFFF"/>
          </w:tcPr>
          <w:p>
            <w:pPr>
              <w:jc w:val="center"/>
            </w:pPr>
            <w:r>
              <w:rPr>
                <w:sz w:val="14"/>
              </w:rPr>
              <w:t>Contrôle qualité</w:t>
            </w:r>
          </w:p>
        </w:tc>
        <w:tc>
          <w:tcPr>
            <w:tcW w:type="dxa" w:w="850"/>
            <w:shd w:val="clear" w:color="auto" w:fill="FFFFFF"/>
          </w:tcPr>
          <w:p>
            <w:pPr>
              <w:jc w:val="center"/>
            </w:pPr>
            <w:r>
              <w:rPr>
                <w:sz w:val="14"/>
              </w:rPr>
              <w:t>2016 (10 ans)</w:t>
            </w:r>
          </w:p>
        </w:tc>
        <w:tc>
          <w:tcPr>
            <w:tcW w:type="dxa" w:w="737"/>
            <w:shd w:val="clear" w:color="auto" w:fill="FFFFFF"/>
          </w:tcPr>
          <w:p>
            <w:pPr>
              <w:jc w:val="center"/>
            </w:pPr>
            <w:r>
              <w:rPr>
                <w:sz w:val="14"/>
              </w:rPr>
              <w:t>🟡 À surveiller</w:t>
            </w:r>
          </w:p>
        </w:tc>
        <w:tc>
          <w:tcPr>
            <w:tcW w:type="dxa" w:w="794"/>
            <w:shd w:val="clear" w:color="auto" w:fill="FFFFFF"/>
          </w:tcPr>
          <w:p>
            <w:pPr>
              <w:jc w:val="center"/>
            </w:pPr>
            <w:r>
              <w:rPr>
                <w:sz w:val="14"/>
              </w:rPr>
              <w:t>7 500 kWh</w:t>
            </w:r>
          </w:p>
        </w:tc>
        <w:tc>
          <w:tcPr>
            <w:tcW w:type="dxa" w:w="907"/>
            <w:shd w:val="clear" w:color="auto" w:fill="FFFFFF"/>
          </w:tcPr>
          <w:p>
            <w:pPr>
              <w:jc w:val="center"/>
            </w:pPr>
            <w:r>
              <w:rPr>
                <w:sz w:val="14"/>
              </w:rPr>
              <w:t>5 % → 375 kWh</w:t>
            </w:r>
          </w:p>
        </w:tc>
        <w:tc>
          <w:tcPr>
            <w:tcW w:type="dxa" w:w="794"/>
            <w:shd w:val="clear" w:color="auto" w:fill="FFFFFF"/>
          </w:tcPr>
          <w:p>
            <w:pPr>
              <w:jc w:val="center"/>
            </w:pPr>
            <w:r>
              <w:rPr>
                <w:color w:val="1A7A45"/>
                <w:sz w:val="14"/>
              </w:rPr>
              <w:t>32 €</w:t>
            </w:r>
          </w:p>
        </w:tc>
        <w:tc>
          <w:tcPr>
            <w:tcW w:type="dxa" w:w="1417"/>
            <w:shd w:val="clear" w:color="auto" w:fill="FFFFFF"/>
          </w:tcPr>
          <w:p>
            <w:pPr>
              <w:jc w:val="center"/>
            </w:pPr>
            <w:r>
              <w:rPr>
                <w:sz w:val="14"/>
              </w:rPr>
              <w:t>1 500 — 3 500 €</w:t>
            </w:r>
          </w:p>
        </w:tc>
      </w:tr>
      <w:tr>
        <w:tc>
          <w:tcPr>
            <w:tcW w:type="dxa" w:w="227"/>
            <w:shd w:val="clear" w:color="auto" w:fill="EBF3FA"/>
          </w:tcPr>
          <w:p>
            <w:pPr>
              <w:jc w:val="center"/>
            </w:pPr>
            <w:r>
              <w:rPr>
                <w:sz w:val="14"/>
              </w:rPr>
              <w:t>26</w:t>
            </w:r>
          </w:p>
        </w:tc>
        <w:tc>
          <w:tcPr>
            <w:tcW w:type="dxa" w:w="1587"/>
            <w:shd w:val="clear" w:color="auto" w:fill="EBF3FA"/>
          </w:tcPr>
          <w:p>
            <w:pPr>
              <w:spacing w:before="20" w:after="0"/>
            </w:pPr>
            <w:r>
              <w:rPr>
                <w:b/>
                <w:sz w:val="16"/>
              </w:rPr>
              <w:t>VMC simple flux</w:t>
            </w:r>
          </w:p>
          <w:p>
            <w:pPr>
              <w:spacing w:before="0" w:after="20"/>
            </w:pPr>
            <w:r>
              <w:rPr>
                <w:i/>
                <w:color w:val="555555"/>
                <w:sz w:val="14"/>
              </w:rPr>
              <w:t>Aldes VEC 382H</w:t>
            </w:r>
          </w:p>
        </w:tc>
        <w:tc>
          <w:tcPr>
            <w:tcW w:type="dxa" w:w="850"/>
            <w:shd w:val="clear" w:color="auto" w:fill="EBF3FA"/>
          </w:tcPr>
          <w:p>
            <w:pPr>
              <w:jc w:val="center"/>
            </w:pPr>
            <w:r>
              <w:rPr>
                <w:sz w:val="14"/>
              </w:rPr>
              <w:t>Sanitaires</w:t>
            </w:r>
          </w:p>
        </w:tc>
        <w:tc>
          <w:tcPr>
            <w:tcW w:type="dxa" w:w="850"/>
            <w:shd w:val="clear" w:color="auto" w:fill="EBF3FA"/>
          </w:tcPr>
          <w:p>
            <w:pPr>
              <w:jc w:val="center"/>
            </w:pPr>
            <w:r>
              <w:rPr>
                <w:sz w:val="14"/>
              </w:rPr>
              <w:t>2010 (16 ans)</w:t>
            </w:r>
          </w:p>
        </w:tc>
        <w:tc>
          <w:tcPr>
            <w:tcW w:type="dxa" w:w="737"/>
            <w:shd w:val="clear" w:color="auto" w:fill="EBF3FA"/>
          </w:tcPr>
          <w:p>
            <w:pPr>
              <w:jc w:val="center"/>
            </w:pPr>
            <w:r>
              <w:rPr>
                <w:color w:val="C45A00"/>
                <w:sz w:val="14"/>
              </w:rPr>
              <w:t>🟠 Vétuste</w:t>
            </w:r>
          </w:p>
        </w:tc>
        <w:tc>
          <w:tcPr>
            <w:tcW w:type="dxa" w:w="794"/>
            <w:shd w:val="clear" w:color="auto" w:fill="EBF3FA"/>
          </w:tcPr>
          <w:p>
            <w:pPr>
              <w:jc w:val="center"/>
            </w:pPr>
            <w:r>
              <w:rPr>
                <w:sz w:val="14"/>
              </w:rPr>
              <w:t>2 475 kWh</w:t>
            </w:r>
          </w:p>
        </w:tc>
        <w:tc>
          <w:tcPr>
            <w:tcW w:type="dxa" w:w="907"/>
            <w:shd w:val="clear" w:color="auto" w:fill="EBF3FA"/>
          </w:tcPr>
          <w:p>
            <w:pPr>
              <w:jc w:val="center"/>
            </w:pPr>
            <w:r>
              <w:rPr>
                <w:sz w:val="14"/>
              </w:rPr>
              <w:t>10 % → 248 kWh</w:t>
            </w:r>
          </w:p>
        </w:tc>
        <w:tc>
          <w:tcPr>
            <w:tcW w:type="dxa" w:w="794"/>
            <w:shd w:val="clear" w:color="auto" w:fill="EBF3FA"/>
          </w:tcPr>
          <w:p>
            <w:pPr>
              <w:jc w:val="center"/>
            </w:pPr>
            <w:r>
              <w:rPr>
                <w:color w:val="1A7A45"/>
                <w:sz w:val="14"/>
              </w:rPr>
              <w:t>21 €</w:t>
            </w:r>
          </w:p>
        </w:tc>
        <w:tc>
          <w:tcPr>
            <w:tcW w:type="dxa" w:w="1417"/>
            <w:shd w:val="clear" w:color="auto" w:fill="EBF3FA"/>
          </w:tcPr>
          <w:p>
            <w:pPr>
              <w:jc w:val="center"/>
            </w:pPr>
            <w:r>
              <w:rPr>
                <w:sz w:val="14"/>
              </w:rPr>
              <w:t>300 — 700 €</w:t>
            </w:r>
          </w:p>
        </w:tc>
      </w:tr>
      <w:tr>
        <w:tc>
          <w:tcPr>
            <w:tcW w:type="dxa" w:w="227"/>
            <w:shd w:val="clear" w:color="auto" w:fill="FFFFFF"/>
          </w:tcPr>
          <w:p>
            <w:pPr>
              <w:jc w:val="center"/>
            </w:pPr>
            <w:r>
              <w:rPr>
                <w:sz w:val="14"/>
              </w:rPr>
              <w:t>27</w:t>
            </w:r>
          </w:p>
        </w:tc>
        <w:tc>
          <w:tcPr>
            <w:tcW w:type="dxa" w:w="1587"/>
            <w:shd w:val="clear" w:color="auto" w:fill="FFFFFF"/>
          </w:tcPr>
          <w:p>
            <w:pPr>
              <w:spacing w:before="20" w:after="0"/>
            </w:pPr>
            <w:r>
              <w:rPr>
                <w:b/>
                <w:sz w:val="16"/>
              </w:rPr>
              <w:t>Niveleur de quai</w:t>
            </w:r>
          </w:p>
          <w:p>
            <w:pPr>
              <w:spacing w:before="0" w:after="20"/>
            </w:pPr>
            <w:r>
              <w:rPr>
                <w:i/>
                <w:color w:val="555555"/>
                <w:sz w:val="14"/>
              </w:rPr>
              <w:t>Hörmann HTL 1500</w:t>
            </w:r>
          </w:p>
        </w:tc>
        <w:tc>
          <w:tcPr>
            <w:tcW w:type="dxa" w:w="850"/>
            <w:shd w:val="clear" w:color="auto" w:fill="FFFFFF"/>
          </w:tcPr>
          <w:p>
            <w:pPr>
              <w:jc w:val="center"/>
            </w:pPr>
            <w:r>
              <w:rPr>
                <w:sz w:val="14"/>
              </w:rPr>
              <w:t>Quai de chargement</w:t>
            </w:r>
          </w:p>
        </w:tc>
        <w:tc>
          <w:tcPr>
            <w:tcW w:type="dxa" w:w="850"/>
            <w:shd w:val="clear" w:color="auto" w:fill="FFFFFF"/>
          </w:tcPr>
          <w:p>
            <w:pPr>
              <w:jc w:val="center"/>
            </w:pPr>
            <w:r>
              <w:rPr>
                <w:sz w:val="14"/>
              </w:rPr>
              <w:t>2015 (11 ans)</w:t>
            </w:r>
          </w:p>
        </w:tc>
        <w:tc>
          <w:tcPr>
            <w:tcW w:type="dxa" w:w="737"/>
            <w:shd w:val="clear" w:color="auto" w:fill="FFFFFF"/>
          </w:tcPr>
          <w:p>
            <w:pPr>
              <w:jc w:val="center"/>
            </w:pPr>
            <w:r>
              <w:rPr>
                <w:sz w:val="14"/>
              </w:rPr>
              <w:t>🟡 À surveiller</w:t>
            </w:r>
          </w:p>
        </w:tc>
        <w:tc>
          <w:tcPr>
            <w:tcW w:type="dxa" w:w="794"/>
            <w:shd w:val="clear" w:color="auto" w:fill="FFFFFF"/>
          </w:tcPr>
          <w:p>
            <w:pPr>
              <w:jc w:val="center"/>
            </w:pPr>
            <w:r>
              <w:rPr>
                <w:sz w:val="14"/>
              </w:rPr>
              <w:t>4 400 kWh</w:t>
            </w:r>
          </w:p>
        </w:tc>
        <w:tc>
          <w:tcPr>
            <w:tcW w:type="dxa" w:w="907"/>
            <w:shd w:val="clear" w:color="auto" w:fill="FFFFFF"/>
          </w:tcPr>
          <w:p>
            <w:pPr>
              <w:jc w:val="center"/>
            </w:pPr>
            <w:r>
              <w:rPr>
                <w:sz w:val="14"/>
              </w:rPr>
              <w:t>5 % → 220 kWh</w:t>
            </w:r>
          </w:p>
        </w:tc>
        <w:tc>
          <w:tcPr>
            <w:tcW w:type="dxa" w:w="794"/>
            <w:shd w:val="clear" w:color="auto" w:fill="FFFFFF"/>
          </w:tcPr>
          <w:p>
            <w:pPr>
              <w:jc w:val="center"/>
            </w:pPr>
            <w:r>
              <w:rPr>
                <w:color w:val="1A7A45"/>
                <w:sz w:val="14"/>
              </w:rPr>
              <w:t>19 €</w:t>
            </w:r>
          </w:p>
        </w:tc>
        <w:tc>
          <w:tcPr>
            <w:tcW w:type="dxa" w:w="1417"/>
            <w:shd w:val="clear" w:color="auto" w:fill="FFFFFF"/>
          </w:tcPr>
          <w:p>
            <w:pPr>
              <w:jc w:val="center"/>
            </w:pPr>
            <w:r>
              <w:rPr>
                <w:sz w:val="14"/>
              </w:rPr>
              <w:t>660 — 1 540 €</w:t>
            </w:r>
          </w:p>
        </w:tc>
      </w:tr>
      <w:tr>
        <w:tc>
          <w:tcPr>
            <w:tcW w:type="dxa" w:w="5952"/>
            <w:gridSpan w:val="7"/>
            <w:shd w:val="clear" w:color="auto" w:fill="D6E4F0"/>
          </w:tcPr>
          <w:p>
            <w:pPr>
              <w:jc w:val="center"/>
            </w:pPr>
            <w:r>
              <w:rPr>
                <w:b/>
                <w:sz w:val="14"/>
              </w:rPr>
              <w:t>TOTAL</w:t>
            </w:r>
          </w:p>
        </w:tc>
        <w:tc>
          <w:tcPr>
            <w:tcW w:type="dxa" w:w="794"/>
            <w:shd w:val="clear" w:color="auto" w:fill="D6E4F0"/>
          </w:tcPr>
          <w:p>
            <w:pPr>
              <w:jc w:val="center"/>
            </w:pPr>
            <w:r>
              <w:rPr>
                <w:b/>
                <w:sz w:val="14"/>
              </w:rPr>
              <w:t>105 275</w:t>
            </w:r>
          </w:p>
        </w:tc>
        <w:tc>
          <w:tcPr>
            <w:tcW w:type="dxa" w:w="1417"/>
            <w:shd w:val="clear" w:color="auto" w:fill="D6E4F0"/>
          </w:tcPr>
          <w:p>
            <w:pPr>
              <w:jc w:val="center"/>
            </w:pPr>
            <w:r>
              <w:rPr>
                <w:b/>
                <w:sz w:val="14"/>
              </w:rPr>
              <w:t>1 358 590 — 3 840 660 €</w:t>
            </w:r>
          </w:p>
        </w:tc>
      </w:tr>
    </w:tbl>
    <w:p/>
    <w:p>
      <w:pPr>
        <w:shd w:val="clear" w:color="auto" w:fill="EBF3FA"/>
        <w:spacing w:before="80" w:after="80"/>
        <w:ind w:left="120"/>
      </w:pPr>
      <w:r>
        <w:rPr>
          <w:b/>
          <w:color w:val="1F4E79"/>
          <w:sz w:val="18"/>
        </w:rPr>
        <w:t>Synthèse de l'analyse de vétusté :</w:t>
      </w:r>
      <w:r>
        <w:br/>
      </w:r>
      <w:r>
        <w:rPr>
          <w:color w:val="555555"/>
          <w:sz w:val="18"/>
        </w:rPr>
        <w:t>• 27 équipement(s) ≥ 10 ans représentant 105 275 €/an d'économies potentielles</w:t>
      </w:r>
      <w:r>
        <w:br/>
      </w:r>
      <w:r>
        <w:rPr>
          <w:color w:val="555555"/>
          <w:sz w:val="18"/>
        </w:rPr>
        <w:t>• Retour sur investissement estimé : 12.9 à 36.5 ans</w:t>
      </w:r>
      <w:r>
        <w:br/>
      </w:r>
      <w:r>
        <w:rPr>
          <w:color w:val="555555"/>
          <w:sz w:val="18"/>
        </w:rPr>
        <w:t>• 3 équipement(s) sans année de fabrication renseignée, non inclus</w:t>
      </w:r>
    </w:p>
    <w:p>
      <w:r>
        <w:br w:type="page"/>
      </w:r>
    </w:p>
    <w:p>
      <w:pPr>
        <w:spacing w:before="0" w:after="80"/>
        <w:pBdr>
          <w:left w:val="single" w:sz="24" w:space="4" w:color="1F4E79"/>
        </w:pBdr>
        <w:shd w:val="clear" w:color="auto" w:fill="EBF3FA"/>
      </w:pPr>
      <w:r>
        <w:rPr>
          <w:b/>
          <w:color w:val="FFFFFF"/>
          <w:sz w:val="26"/>
          <w:shd w:val="clear" w:color="auto" w:fill="1F4E79"/>
        </w:rPr>
        <w:t xml:space="preserve">  6.  </w:t>
      </w:r>
      <w:r>
        <w:rPr>
          <w:b/>
          <w:color w:val="1F4E79"/>
          <w:sz w:val="26"/>
        </w:rPr>
        <w:t xml:space="preserve"> Qualité des données de l'inventaire</w:t>
      </w:r>
    </w:p>
    <w:p>
      <w:pPr>
        <w:spacing w:after="120"/>
      </w:pPr>
      <w:r>
        <w:rPr>
          <w:color w:val="555555"/>
          <w:sz w:val="20"/>
        </w:rPr>
        <w:t>Cette section évalue la complétude des données saisies lors de l'inventaire terrain et recoupe la consommation estimée à partir du parc d'équipements avec la consommation facturée (page consommations).</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Conso. estimable</w:t>
            </w:r>
          </w:p>
          <w:p>
            <w:pPr>
              <w:spacing w:before="0" w:after="40"/>
              <w:ind w:left="120"/>
            </w:pPr>
            <w:r>
              <w:rPr>
                <w:b/>
                <w:color w:val="1F4E79"/>
                <w:sz w:val="30"/>
              </w:rPr>
              <w:t>93,5</w:t>
            </w:r>
            <w:r>
              <w:rPr>
                <w:color w:val="555555"/>
                <w:sz w:val="16"/>
              </w:rPr>
              <w:t xml:space="preserve"> %</w:t>
            </w:r>
          </w:p>
        </w:tc>
        <w:tc>
          <w:tcPr>
            <w:tcW w:type="dxa" w:w="2422"/>
            <w:shd w:val="clear" w:color="auto" w:fill="EBF3FA"/>
            <w:tcBdr>
              <w:top w:val="single" w:sz="12" w:color="C45A00"/>
            </w:tcBdr>
          </w:tcPr>
          <w:p>
            <w:pPr>
              <w:spacing w:before="80" w:after="0"/>
              <w:ind w:left="120"/>
            </w:pPr>
            <w:r>
              <w:rPr>
                <w:color w:val="555555"/>
                <w:sz w:val="16"/>
              </w:rPr>
              <w:t>Confiance OCR faible</w:t>
            </w:r>
          </w:p>
          <w:p>
            <w:pPr>
              <w:spacing w:before="0" w:after="40"/>
              <w:ind w:left="120"/>
            </w:pPr>
            <w:r>
              <w:rPr>
                <w:b/>
                <w:color w:val="C45A00"/>
                <w:sz w:val="30"/>
              </w:rPr>
              <w:t>4</w:t>
            </w:r>
            <w:r>
              <w:rPr>
                <w:color w:val="555555"/>
                <w:sz w:val="16"/>
              </w:rPr>
              <w:t xml:space="preserve"> / 46</w:t>
            </w:r>
          </w:p>
        </w:tc>
        <w:tc>
          <w:tcPr>
            <w:tcW w:type="dxa" w:w="2422"/>
            <w:shd w:val="clear" w:color="auto" w:fill="EBF3FA"/>
            <w:tcBdr>
              <w:top w:val="single" w:sz="12" w:color="2E5F8A"/>
            </w:tcBdr>
          </w:tcPr>
          <w:p>
            <w:pPr>
              <w:spacing w:before="80" w:after="0"/>
              <w:ind w:left="120"/>
            </w:pPr>
            <w:r>
              <w:rPr>
                <w:color w:val="555555"/>
                <w:sz w:val="16"/>
              </w:rPr>
              <w:t>Année manquante</w:t>
            </w:r>
          </w:p>
          <w:p>
            <w:pPr>
              <w:spacing w:before="0" w:after="40"/>
              <w:ind w:left="120"/>
            </w:pPr>
            <w:r>
              <w:rPr>
                <w:b/>
                <w:color w:val="2E5F8A"/>
                <w:sz w:val="30"/>
              </w:rPr>
              <w:t>3</w:t>
            </w:r>
            <w:r>
              <w:rPr>
                <w:color w:val="555555"/>
                <w:sz w:val="16"/>
              </w:rPr>
              <w:t xml:space="preserve"> / 46</w:t>
            </w:r>
          </w:p>
        </w:tc>
        <w:tc>
          <w:tcPr>
            <w:tcW w:type="dxa" w:w="2422"/>
            <w:shd w:val="clear" w:color="auto" w:fill="EBF3FA"/>
            <w:tcBdr>
              <w:top w:val="single" w:sz="12" w:color="1A7A45"/>
            </w:tcBdr>
          </w:tcPr>
          <w:p>
            <w:pPr>
              <w:spacing w:before="80" w:after="0"/>
              <w:ind w:left="120"/>
            </w:pPr>
            <w:r>
              <w:rPr>
                <w:color w:val="555555"/>
                <w:sz w:val="16"/>
              </w:rPr>
              <w:t>Conso. totale estimée</w:t>
            </w:r>
          </w:p>
          <w:p>
            <w:pPr>
              <w:spacing w:before="0" w:after="40"/>
              <w:ind w:left="120"/>
            </w:pPr>
            <w:r>
              <w:rPr>
                <w:b/>
                <w:color w:val="1A7A45"/>
                <w:sz w:val="30"/>
              </w:rPr>
              <w:t>13 793 613</w:t>
            </w:r>
            <w:r>
              <w:rPr>
                <w:color w:val="555555"/>
                <w:sz w:val="16"/>
              </w:rPr>
              <w:t xml:space="preserve"> kWh/an</w:t>
            </w:r>
          </w:p>
        </w:tc>
      </w:tr>
    </w:tbl>
    <w:p>
      <w:pPr>
        <w:spacing w:after="80"/>
      </w:pPr>
    </w:p>
    <w:p/>
    <w:p>
      <w:r>
        <w:rPr>
          <w:b/>
          <w:color w:val="1F4E79"/>
          <w:sz w:val="20"/>
        </w:rPr>
        <w:t>Recoupement consommation facturée ↔ estimée (inventaire)</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1F4E79"/>
          </w:tcPr>
          <w:p>
            <w:pPr>
              <w:jc w:val="center"/>
            </w:pPr>
            <w:r>
              <w:rPr>
                <w:b/>
                <w:color w:val="FFFFFF"/>
              </w:rPr>
              <w:t>Vecteur</w:t>
            </w:r>
          </w:p>
        </w:tc>
        <w:tc>
          <w:tcPr>
            <w:tcW w:type="dxa" w:w="2422"/>
            <w:shd w:val="clear" w:color="auto" w:fill="1F4E79"/>
          </w:tcPr>
          <w:p>
            <w:pPr>
              <w:jc w:val="center"/>
            </w:pPr>
            <w:r>
              <w:rPr>
                <w:b/>
                <w:color w:val="FFFFFF"/>
              </w:rPr>
              <w:t>Facturé</w:t>
            </w:r>
          </w:p>
        </w:tc>
        <w:tc>
          <w:tcPr>
            <w:tcW w:type="dxa" w:w="2422"/>
            <w:shd w:val="clear" w:color="auto" w:fill="1F4E79"/>
          </w:tcPr>
          <w:p>
            <w:pPr>
              <w:jc w:val="center"/>
            </w:pPr>
            <w:r>
              <w:rPr>
                <w:b/>
                <w:color w:val="FFFFFF"/>
              </w:rPr>
              <w:t>Estimé (inventaire)</w:t>
            </w:r>
          </w:p>
        </w:tc>
        <w:tc>
          <w:tcPr>
            <w:tcW w:type="dxa" w:w="2422"/>
            <w:shd w:val="clear" w:color="auto" w:fill="1F4E79"/>
          </w:tcPr>
          <w:p>
            <w:pPr>
              <w:jc w:val="center"/>
            </w:pPr>
            <w:r>
              <w:rPr>
                <w:b/>
                <w:color w:val="FFFFFF"/>
              </w:rPr>
              <w:t>Écart</w:t>
            </w:r>
          </w:p>
        </w:tc>
      </w:tr>
      <w:tr>
        <w:tc>
          <w:tcPr>
            <w:tcW w:type="dxa" w:w="2422"/>
            <w:shd w:val="clear" w:color="auto" w:fill="FFFFFF"/>
          </w:tcPr>
          <w:p>
            <w:r>
              <w:t>Électricité</w:t>
            </w:r>
          </w:p>
        </w:tc>
        <w:tc>
          <w:tcPr>
            <w:tcW w:type="dxa" w:w="2422"/>
            <w:shd w:val="clear" w:color="auto" w:fill="FFFFFF"/>
          </w:tcPr>
          <w:p>
            <w:r>
              <w:t>8 495 803 kWh/an</w:t>
            </w:r>
          </w:p>
        </w:tc>
        <w:tc>
          <w:tcPr>
            <w:tcW w:type="dxa" w:w="2422"/>
            <w:shd w:val="clear" w:color="auto" w:fill="FFFFFF"/>
          </w:tcPr>
          <w:p>
            <w:r>
              <w:t>9 669 613 kWh/an</w:t>
            </w:r>
          </w:p>
        </w:tc>
        <w:tc>
          <w:tcPr>
            <w:tcW w:type="dxa" w:w="2422"/>
            <w:shd w:val="clear" w:color="auto" w:fill="FFFFFF"/>
          </w:tcPr>
          <w:p>
            <w:r>
              <w:t>+13,8 %</w:t>
            </w:r>
          </w:p>
        </w:tc>
      </w:tr>
      <w:tr>
        <w:tc>
          <w:tcPr>
            <w:tcW w:type="dxa" w:w="2422"/>
            <w:shd w:val="clear" w:color="auto" w:fill="EBF3FA"/>
          </w:tcPr>
          <w:p>
            <w:r>
              <w:t>Gaz naturel</w:t>
            </w:r>
          </w:p>
        </w:tc>
        <w:tc>
          <w:tcPr>
            <w:tcW w:type="dxa" w:w="2422"/>
            <w:shd w:val="clear" w:color="auto" w:fill="EBF3FA"/>
          </w:tcPr>
          <w:p>
            <w:r>
              <w:t>5 504 991 kWh/an</w:t>
            </w:r>
          </w:p>
        </w:tc>
        <w:tc>
          <w:tcPr>
            <w:tcW w:type="dxa" w:w="2422"/>
            <w:shd w:val="clear" w:color="auto" w:fill="EBF3FA"/>
          </w:tcPr>
          <w:p>
            <w:r>
              <w:t>4 124 000 kWh/an</w:t>
            </w:r>
          </w:p>
        </w:tc>
        <w:tc>
          <w:tcPr>
            <w:tcW w:type="dxa" w:w="2422"/>
            <w:shd w:val="clear" w:color="auto" w:fill="EBF3FA"/>
          </w:tcPr>
          <w:p>
            <w:r>
              <w:t>-25,1 %</w:t>
            </w:r>
          </w:p>
        </w:tc>
      </w:tr>
      <w:tr>
        <w:tc>
          <w:tcPr>
            <w:tcW w:type="dxa" w:w="2422"/>
            <w:shd w:val="clear" w:color="auto" w:fill="D6E4F0"/>
            <w:shd w:val="clear" w:color="auto" w:fill="FFFFFF"/>
          </w:tcPr>
          <w:p>
            <w:r>
              <w:rPr>
                <w:b/>
              </w:rPr>
              <w:t>TOTAL</w:t>
            </w:r>
          </w:p>
        </w:tc>
        <w:tc>
          <w:tcPr>
            <w:tcW w:type="dxa" w:w="2422"/>
            <w:shd w:val="clear" w:color="auto" w:fill="D6E4F0"/>
            <w:shd w:val="clear" w:color="auto" w:fill="FFFFFF"/>
          </w:tcPr>
          <w:p>
            <w:r>
              <w:rPr>
                <w:b/>
              </w:rPr>
              <w:t>14 000 794 kWh/an</w:t>
            </w:r>
          </w:p>
        </w:tc>
        <w:tc>
          <w:tcPr>
            <w:tcW w:type="dxa" w:w="2422"/>
            <w:shd w:val="clear" w:color="auto" w:fill="D6E4F0"/>
            <w:shd w:val="clear" w:color="auto" w:fill="FFFFFF"/>
          </w:tcPr>
          <w:p>
            <w:r>
              <w:rPr>
                <w:b/>
              </w:rPr>
              <w:t>13 793 613 kWh/an</w:t>
            </w:r>
          </w:p>
        </w:tc>
        <w:tc>
          <w:tcPr>
            <w:tcW w:type="dxa" w:w="2422"/>
            <w:shd w:val="clear" w:color="auto" w:fill="D6E4F0"/>
            <w:shd w:val="clear" w:color="auto" w:fill="FFFFFF"/>
          </w:tcPr>
          <w:p>
            <w:r>
              <w:rPr>
                <w:b/>
              </w:rPr>
              <w:t>-1,5 %</w:t>
            </w:r>
          </w:p>
        </w:tc>
      </w:tr>
    </w:tbl>
    <w:p>
      <w:r>
        <w:rPr>
          <w:i/>
          <w:color w:val="555555"/>
          <w:sz w:val="18"/>
        </w:rPr>
        <w:t>Un écart important peut indiquer des consommations non recensées dans l'inventaire (équipements manquants) ou des heures de fonctionnement / puissances à corriger.</w:t>
      </w:r>
    </w:p>
    <w:p/>
    <w:p>
      <w:r>
        <w:rPr>
          <w:b/>
          <w:color w:val="1F4E79"/>
          <w:sz w:val="20"/>
        </w:rPr>
        <w:t>Équipements à vérifier (4)</w:t>
      </w:r>
    </w:p>
    <w:p>
      <w:r>
        <w:rPr>
          <w:color w:val="555555"/>
          <w:sz w:val="18"/>
        </w:rPr>
        <w:t>• moteur LBC — Atelier finition : confiance OCR 30 %</w:t>
      </w:r>
      <w:r>
        <w:br/>
      </w:r>
      <w:r>
        <w:rPr>
          <w:color w:val="555555"/>
          <w:sz w:val="18"/>
        </w:rPr>
        <w:t>• luminaire : conso. non estimable, année manquante, confiance OCR 30 %</w:t>
      </w:r>
      <w:r>
        <w:br/>
      </w:r>
      <w:r>
        <w:rPr>
          <w:color w:val="555555"/>
          <w:sz w:val="18"/>
        </w:rPr>
        <w:t>• luminaire  tube LED : conso. non estimable, année manquante, confiance OCR 30 %</w:t>
      </w:r>
      <w:r>
        <w:br/>
      </w:r>
      <w:r>
        <w:rPr>
          <w:color w:val="555555"/>
          <w:sz w:val="18"/>
        </w:rPr>
        <w:t>• pompe à chaleur : conso. non estimable, année manquante, confiance OCR 30 %</w:t>
      </w:r>
    </w:p>
    <w:p>
      <w:r>
        <w:br w:type="page"/>
      </w:r>
    </w:p>
    <w:p>
      <w:pPr>
        <w:spacing w:before="0" w:after="80"/>
        <w:pBdr>
          <w:left w:val="single" w:sz="24" w:space="4" w:color="1F4E79"/>
        </w:pBdr>
        <w:shd w:val="clear" w:color="auto" w:fill="EBF3FA"/>
      </w:pPr>
      <w:r>
        <w:rPr>
          <w:b/>
          <w:color w:val="FFFFFF"/>
          <w:sz w:val="26"/>
          <w:shd w:val="clear" w:color="auto" w:fill="1F4E79"/>
        </w:rPr>
        <w:t xml:space="preserve">  7.  </w:t>
      </w:r>
      <w:r>
        <w:rPr>
          <w:b/>
          <w:color w:val="1F4E79"/>
          <w:sz w:val="26"/>
        </w:rPr>
        <w:t xml:space="preserve"> Répartition énergétique du parc</w:t>
      </w:r>
    </w:p>
    <w:p>
      <w:pPr>
        <w:spacing w:after="120"/>
      </w:pPr>
      <w:r>
        <w:rPr>
          <w:color w:val="555555"/>
          <w:sz w:val="20"/>
        </w:rPr>
        <w:t>Répartition de la consommation estimée du parc d'équipements par vecteur énergétique et par zone, et identification des équipements à faible rendement.</w:t>
      </w:r>
    </w:p>
    <w:p>
      <w:r>
        <w:rPr>
          <w:b/>
          <w:color w:val="1F4E79"/>
          <w:sz w:val="20"/>
        </w:rPr>
        <w:t>Répartition par vecteur énergétique</w:t>
      </w:r>
    </w:p>
    <w:tbl>
      <w:tblPr>
        <w:tblStyle w:val="TableGrid"/>
        <w:tblW w:type="auto" w:w="0"/>
        <w:tblLook w:firstColumn="1" w:firstRow="1" w:lastColumn="0" w:lastRow="0" w:noHBand="0" w:noVBand="1" w:val="04A0"/>
      </w:tblPr>
      <w:tblGrid>
        <w:gridCol w:w="3230"/>
        <w:gridCol w:w="3230"/>
        <w:gridCol w:w="3230"/>
      </w:tblGrid>
      <w:tr>
        <w:tc>
          <w:tcPr>
            <w:tcW w:type="dxa" w:w="3230"/>
            <w:shd w:val="clear" w:color="auto" w:fill="1F4E79"/>
          </w:tcPr>
          <w:p>
            <w:pPr>
              <w:jc w:val="center"/>
            </w:pPr>
            <w:r>
              <w:rPr>
                <w:b/>
                <w:color w:val="FFFFFF"/>
              </w:rPr>
              <w:t>Vecteur</w:t>
            </w:r>
          </w:p>
        </w:tc>
        <w:tc>
          <w:tcPr>
            <w:tcW w:type="dxa" w:w="3230"/>
            <w:shd w:val="clear" w:color="auto" w:fill="1F4E79"/>
          </w:tcPr>
          <w:p>
            <w:pPr>
              <w:jc w:val="center"/>
            </w:pPr>
            <w:r>
              <w:rPr>
                <w:b/>
                <w:color w:val="FFFFFF"/>
              </w:rPr>
              <w:t>Conso. estimée</w:t>
            </w:r>
          </w:p>
        </w:tc>
        <w:tc>
          <w:tcPr>
            <w:tcW w:type="dxa" w:w="3230"/>
            <w:shd w:val="clear" w:color="auto" w:fill="1F4E79"/>
          </w:tcPr>
          <w:p>
            <w:pPr>
              <w:jc w:val="center"/>
            </w:pPr>
            <w:r>
              <w:rPr>
                <w:b/>
                <w:color w:val="FFFFFF"/>
              </w:rPr>
              <w:t>Part</w:t>
            </w:r>
          </w:p>
        </w:tc>
      </w:tr>
      <w:tr>
        <w:tc>
          <w:tcPr>
            <w:tcW w:type="dxa" w:w="3230"/>
            <w:shd w:val="clear" w:color="auto" w:fill="FFFFFF"/>
          </w:tcPr>
          <w:p>
            <w:r>
              <w:t>Électricité</w:t>
            </w:r>
          </w:p>
        </w:tc>
        <w:tc>
          <w:tcPr>
            <w:tcW w:type="dxa" w:w="3230"/>
            <w:shd w:val="clear" w:color="auto" w:fill="FFFFFF"/>
          </w:tcPr>
          <w:p>
            <w:r>
              <w:t>9 669 613 kWh/an</w:t>
            </w:r>
          </w:p>
        </w:tc>
        <w:tc>
          <w:tcPr>
            <w:tcW w:type="dxa" w:w="3230"/>
            <w:shd w:val="clear" w:color="auto" w:fill="FFFFFF"/>
          </w:tcPr>
          <w:p>
            <w:r>
              <w:t>70,1 %</w:t>
            </w:r>
          </w:p>
        </w:tc>
      </w:tr>
      <w:tr>
        <w:tc>
          <w:tcPr>
            <w:tcW w:type="dxa" w:w="3230"/>
            <w:shd w:val="clear" w:color="auto" w:fill="EBF3FA"/>
          </w:tcPr>
          <w:p>
            <w:r>
              <w:t>Gaz naturel</w:t>
            </w:r>
          </w:p>
        </w:tc>
        <w:tc>
          <w:tcPr>
            <w:tcW w:type="dxa" w:w="3230"/>
            <w:shd w:val="clear" w:color="auto" w:fill="EBF3FA"/>
          </w:tcPr>
          <w:p>
            <w:r>
              <w:t>4 124 000 kWh/an</w:t>
            </w:r>
          </w:p>
        </w:tc>
        <w:tc>
          <w:tcPr>
            <w:tcW w:type="dxa" w:w="3230"/>
            <w:shd w:val="clear" w:color="auto" w:fill="EBF3FA"/>
          </w:tcPr>
          <w:p>
            <w:r>
              <w:t>29,9 %</w:t>
            </w:r>
          </w:p>
        </w:tc>
      </w:tr>
    </w:tbl>
    <w:p/>
    <w:p>
      <w:r>
        <w:rPr>
          <w:b/>
          <w:color w:val="1F4E79"/>
          <w:sz w:val="20"/>
        </w:rPr>
        <w:t>Répartition par zone / bâtiment</w:t>
      </w:r>
    </w:p>
    <w:tbl>
      <w:tblPr>
        <w:tblStyle w:val="TableGrid"/>
        <w:tblW w:type="auto" w:w="0"/>
        <w:tblLook w:firstColumn="1" w:firstRow="1" w:lastColumn="0" w:lastRow="0" w:noHBand="0" w:noVBand="1" w:val="04A0"/>
      </w:tblPr>
      <w:tblGrid>
        <w:gridCol w:w="1938"/>
        <w:gridCol w:w="1938"/>
        <w:gridCol w:w="1938"/>
        <w:gridCol w:w="1938"/>
        <w:gridCol w:w="1938"/>
      </w:tblGrid>
      <w:tr>
        <w:tc>
          <w:tcPr>
            <w:tcW w:type="dxa" w:w="1938"/>
            <w:shd w:val="clear" w:color="auto" w:fill="1F4E79"/>
          </w:tcPr>
          <w:p>
            <w:pPr>
              <w:jc w:val="center"/>
            </w:pPr>
            <w:r>
              <w:rPr>
                <w:b/>
                <w:color w:val="FFFFFF"/>
              </w:rPr>
              <w:t>Zone</w:t>
            </w:r>
          </w:p>
        </w:tc>
        <w:tc>
          <w:tcPr>
            <w:tcW w:type="dxa" w:w="1938"/>
            <w:shd w:val="clear" w:color="auto" w:fill="1F4E79"/>
          </w:tcPr>
          <w:p>
            <w:pPr>
              <w:jc w:val="center"/>
            </w:pPr>
            <w:r>
              <w:rPr>
                <w:b/>
                <w:color w:val="FFFFFF"/>
              </w:rPr>
              <w:t>Équip.</w:t>
            </w:r>
          </w:p>
        </w:tc>
        <w:tc>
          <w:tcPr>
            <w:tcW w:type="dxa" w:w="1938"/>
            <w:shd w:val="clear" w:color="auto" w:fill="1F4E79"/>
          </w:tcPr>
          <w:p>
            <w:pPr>
              <w:jc w:val="center"/>
            </w:pPr>
            <w:r>
              <w:rPr>
                <w:b/>
                <w:color w:val="FFFFFF"/>
              </w:rPr>
              <w:t>Puissance</w:t>
            </w:r>
          </w:p>
        </w:tc>
        <w:tc>
          <w:tcPr>
            <w:tcW w:type="dxa" w:w="1938"/>
            <w:shd w:val="clear" w:color="auto" w:fill="1F4E79"/>
          </w:tcPr>
          <w:p>
            <w:pPr>
              <w:jc w:val="center"/>
            </w:pPr>
            <w:r>
              <w:rPr>
                <w:b/>
                <w:color w:val="FFFFFF"/>
              </w:rPr>
              <w:t>Conso. estimée</w:t>
            </w:r>
          </w:p>
        </w:tc>
        <w:tc>
          <w:tcPr>
            <w:tcW w:type="dxa" w:w="1938"/>
            <w:shd w:val="clear" w:color="auto" w:fill="1F4E79"/>
          </w:tcPr>
          <w:p>
            <w:pPr>
              <w:jc w:val="center"/>
            </w:pPr>
            <w:r>
              <w:rPr>
                <w:b/>
                <w:color w:val="FFFFFF"/>
              </w:rPr>
              <w:t>Densité</w:t>
            </w:r>
          </w:p>
        </w:tc>
      </w:tr>
      <w:tr>
        <w:tc>
          <w:tcPr>
            <w:tcW w:type="dxa" w:w="1938"/>
            <w:shd w:val="clear" w:color="auto" w:fill="FFFFFF"/>
          </w:tcPr>
          <w:p>
            <w:r>
              <w:t>Hall de fusion (Bâtiment principal)</w:t>
            </w:r>
          </w:p>
        </w:tc>
        <w:tc>
          <w:tcPr>
            <w:tcW w:type="dxa" w:w="1938"/>
            <w:shd w:val="clear" w:color="auto" w:fill="FFFFFF"/>
          </w:tcPr>
          <w:p>
            <w:r>
              <w:t>6</w:t>
            </w:r>
          </w:p>
        </w:tc>
        <w:tc>
          <w:tcPr>
            <w:tcW w:type="dxa" w:w="1938"/>
            <w:shd w:val="clear" w:color="auto" w:fill="FFFFFF"/>
          </w:tcPr>
          <w:p>
            <w:r>
              <w:t>953,0 kW</w:t>
            </w:r>
          </w:p>
        </w:tc>
        <w:tc>
          <w:tcPr>
            <w:tcW w:type="dxa" w:w="1938"/>
            <w:shd w:val="clear" w:color="auto" w:fill="FFFFFF"/>
          </w:tcPr>
          <w:p>
            <w:r>
              <w:t>6 509 500 kWh/an</w:t>
            </w:r>
          </w:p>
        </w:tc>
        <w:tc>
          <w:tcPr>
            <w:tcW w:type="dxa" w:w="1938"/>
            <w:shd w:val="clear" w:color="auto" w:fill="FFFFFF"/>
          </w:tcPr>
          <w:p>
            <w:r>
              <w:t>1,191 kW/m²</w:t>
            </w:r>
          </w:p>
        </w:tc>
      </w:tr>
      <w:tr>
        <w:tc>
          <w:tcPr>
            <w:tcW w:type="dxa" w:w="1938"/>
            <w:shd w:val="clear" w:color="auto" w:fill="EBF3FA"/>
          </w:tcPr>
          <w:p>
            <w:r>
              <w:t>Chaufferie (Bâtiment principal)</w:t>
            </w:r>
          </w:p>
        </w:tc>
        <w:tc>
          <w:tcPr>
            <w:tcW w:type="dxa" w:w="1938"/>
            <w:shd w:val="clear" w:color="auto" w:fill="EBF3FA"/>
          </w:tcPr>
          <w:p>
            <w:r>
              <w:t>3</w:t>
            </w:r>
          </w:p>
        </w:tc>
        <w:tc>
          <w:tcPr>
            <w:tcW w:type="dxa" w:w="1938"/>
            <w:shd w:val="clear" w:color="auto" w:fill="EBF3FA"/>
          </w:tcPr>
          <w:p>
            <w:r>
              <w:t>550,8 kW</w:t>
            </w:r>
          </w:p>
        </w:tc>
        <w:tc>
          <w:tcPr>
            <w:tcW w:type="dxa" w:w="1938"/>
            <w:shd w:val="clear" w:color="auto" w:fill="EBF3FA"/>
          </w:tcPr>
          <w:p>
            <w:r>
              <w:t>2 653 600 kWh/an</w:t>
            </w:r>
          </w:p>
        </w:tc>
        <w:tc>
          <w:tcPr>
            <w:tcW w:type="dxa" w:w="1938"/>
            <w:shd w:val="clear" w:color="auto" w:fill="EBF3FA"/>
          </w:tcPr>
          <w:p>
            <w:r>
              <w:t>9,180 kW/m²</w:t>
            </w:r>
          </w:p>
        </w:tc>
      </w:tr>
      <w:tr>
        <w:tc>
          <w:tcPr>
            <w:tcW w:type="dxa" w:w="1938"/>
            <w:shd w:val="clear" w:color="auto" w:fill="FFFFFF"/>
          </w:tcPr>
          <w:p>
            <w:r>
              <w:t>Zone de coulée (Bâtiment principal)</w:t>
            </w:r>
          </w:p>
        </w:tc>
        <w:tc>
          <w:tcPr>
            <w:tcW w:type="dxa" w:w="1938"/>
            <w:shd w:val="clear" w:color="auto" w:fill="FFFFFF"/>
          </w:tcPr>
          <w:p>
            <w:r>
              <w:t>5</w:t>
            </w:r>
          </w:p>
        </w:tc>
        <w:tc>
          <w:tcPr>
            <w:tcW w:type="dxa" w:w="1938"/>
            <w:shd w:val="clear" w:color="auto" w:fill="FFFFFF"/>
          </w:tcPr>
          <w:p>
            <w:r>
              <w:t>285,7 kW</w:t>
            </w:r>
          </w:p>
        </w:tc>
        <w:tc>
          <w:tcPr>
            <w:tcW w:type="dxa" w:w="1938"/>
            <w:shd w:val="clear" w:color="auto" w:fill="FFFFFF"/>
          </w:tcPr>
          <w:p>
            <w:r>
              <w:t>1 583 950 kWh/an</w:t>
            </w:r>
          </w:p>
        </w:tc>
        <w:tc>
          <w:tcPr>
            <w:tcW w:type="dxa" w:w="1938"/>
            <w:shd w:val="clear" w:color="auto" w:fill="FFFFFF"/>
          </w:tcPr>
          <w:p>
            <w:r>
              <w:t>0,816 kW/m²</w:t>
            </w:r>
          </w:p>
        </w:tc>
      </w:tr>
      <w:tr>
        <w:tc>
          <w:tcPr>
            <w:tcW w:type="dxa" w:w="1938"/>
            <w:shd w:val="clear" w:color="auto" w:fill="EBF3FA"/>
          </w:tcPr>
          <w:p>
            <w:r>
              <w:t>Atelier finition (Bâtiment principal)</w:t>
            </w:r>
          </w:p>
        </w:tc>
        <w:tc>
          <w:tcPr>
            <w:tcW w:type="dxa" w:w="1938"/>
            <w:shd w:val="clear" w:color="auto" w:fill="EBF3FA"/>
          </w:tcPr>
          <w:p>
            <w:r>
              <w:t>5</w:t>
            </w:r>
          </w:p>
        </w:tc>
        <w:tc>
          <w:tcPr>
            <w:tcW w:type="dxa" w:w="1938"/>
            <w:shd w:val="clear" w:color="auto" w:fill="EBF3FA"/>
          </w:tcPr>
          <w:p>
            <w:r>
              <w:t>393,0 kW</w:t>
            </w:r>
          </w:p>
        </w:tc>
        <w:tc>
          <w:tcPr>
            <w:tcW w:type="dxa" w:w="1938"/>
            <w:shd w:val="clear" w:color="auto" w:fill="EBF3FA"/>
          </w:tcPr>
          <w:p>
            <w:r>
              <w:t>1 280 500 kWh/an</w:t>
            </w:r>
          </w:p>
        </w:tc>
        <w:tc>
          <w:tcPr>
            <w:tcW w:type="dxa" w:w="1938"/>
            <w:shd w:val="clear" w:color="auto" w:fill="EBF3FA"/>
          </w:tcPr>
          <w:p>
            <w:r>
              <w:t>1,310 kW/m²</w:t>
            </w:r>
          </w:p>
        </w:tc>
      </w:tr>
      <w:tr>
        <w:tc>
          <w:tcPr>
            <w:tcW w:type="dxa" w:w="1938"/>
            <w:shd w:val="clear" w:color="auto" w:fill="FFFFFF"/>
          </w:tcPr>
          <w:p>
            <w:r>
              <w:t>Traitement thermique (Bâtiment principal)</w:t>
            </w:r>
          </w:p>
        </w:tc>
        <w:tc>
          <w:tcPr>
            <w:tcW w:type="dxa" w:w="1938"/>
            <w:shd w:val="clear" w:color="auto" w:fill="FFFFFF"/>
          </w:tcPr>
          <w:p>
            <w:r>
              <w:t>4</w:t>
            </w:r>
          </w:p>
        </w:tc>
        <w:tc>
          <w:tcPr>
            <w:tcW w:type="dxa" w:w="1938"/>
            <w:shd w:val="clear" w:color="auto" w:fill="FFFFFF"/>
          </w:tcPr>
          <w:p>
            <w:r>
              <w:t>238,0 kW</w:t>
            </w:r>
          </w:p>
        </w:tc>
        <w:tc>
          <w:tcPr>
            <w:tcW w:type="dxa" w:w="1938"/>
            <w:shd w:val="clear" w:color="auto" w:fill="FFFFFF"/>
          </w:tcPr>
          <w:p>
            <w:r>
              <w:t>1 116 000 kWh/an</w:t>
            </w:r>
          </w:p>
        </w:tc>
        <w:tc>
          <w:tcPr>
            <w:tcW w:type="dxa" w:w="1938"/>
            <w:shd w:val="clear" w:color="auto" w:fill="FFFFFF"/>
          </w:tcPr>
          <w:p>
            <w:r>
              <w:t>0,952 kW/m²</w:t>
            </w:r>
          </w:p>
        </w:tc>
      </w:tr>
      <w:tr>
        <w:tc>
          <w:tcPr>
            <w:tcW w:type="dxa" w:w="1938"/>
            <w:shd w:val="clear" w:color="auto" w:fill="EBF3FA"/>
          </w:tcPr>
          <w:p>
            <w:r>
              <w:t>Salle compresseurs (Bâtiment principal)</w:t>
            </w:r>
          </w:p>
        </w:tc>
        <w:tc>
          <w:tcPr>
            <w:tcW w:type="dxa" w:w="1938"/>
            <w:shd w:val="clear" w:color="auto" w:fill="EBF3FA"/>
          </w:tcPr>
          <w:p>
            <w:r>
              <w:t>3</w:t>
            </w:r>
          </w:p>
        </w:tc>
        <w:tc>
          <w:tcPr>
            <w:tcW w:type="dxa" w:w="1938"/>
            <w:shd w:val="clear" w:color="auto" w:fill="EBF3FA"/>
          </w:tcPr>
          <w:p>
            <w:r>
              <w:t>63,5 kW</w:t>
            </w:r>
          </w:p>
        </w:tc>
        <w:tc>
          <w:tcPr>
            <w:tcW w:type="dxa" w:w="1938"/>
            <w:shd w:val="clear" w:color="auto" w:fill="EBF3FA"/>
          </w:tcPr>
          <w:p>
            <w:r>
              <w:t>439 250 kWh/an</w:t>
            </w:r>
          </w:p>
        </w:tc>
        <w:tc>
          <w:tcPr>
            <w:tcW w:type="dxa" w:w="1938"/>
            <w:shd w:val="clear" w:color="auto" w:fill="EBF3FA"/>
          </w:tcPr>
          <w:p>
            <w:r>
              <w:t>0,794 kW/m²</w:t>
            </w:r>
          </w:p>
        </w:tc>
      </w:tr>
      <w:tr>
        <w:tc>
          <w:tcPr>
            <w:tcW w:type="dxa" w:w="1938"/>
            <w:shd w:val="clear" w:color="auto" w:fill="FFFFFF"/>
          </w:tcPr>
          <w:p>
            <w:r>
              <w:t>Réfectoire (Bâtiment tertiaire)</w:t>
            </w:r>
          </w:p>
        </w:tc>
        <w:tc>
          <w:tcPr>
            <w:tcW w:type="dxa" w:w="1938"/>
            <w:shd w:val="clear" w:color="auto" w:fill="FFFFFF"/>
          </w:tcPr>
          <w:p>
            <w:r>
              <w:t>3</w:t>
            </w:r>
          </w:p>
        </w:tc>
        <w:tc>
          <w:tcPr>
            <w:tcW w:type="dxa" w:w="1938"/>
            <w:shd w:val="clear" w:color="auto" w:fill="FFFFFF"/>
          </w:tcPr>
          <w:p>
            <w:r>
              <w:t>29,0 kW</w:t>
            </w:r>
          </w:p>
        </w:tc>
        <w:tc>
          <w:tcPr>
            <w:tcW w:type="dxa" w:w="1938"/>
            <w:shd w:val="clear" w:color="auto" w:fill="FFFFFF"/>
          </w:tcPr>
          <w:p>
            <w:r>
              <w:t>69 040 kWh/an</w:t>
            </w:r>
          </w:p>
        </w:tc>
        <w:tc>
          <w:tcPr>
            <w:tcW w:type="dxa" w:w="1938"/>
            <w:shd w:val="clear" w:color="auto" w:fill="FFFFFF"/>
          </w:tcPr>
          <w:p>
            <w:r>
              <w:t>0,322 kW/m²</w:t>
            </w:r>
          </w:p>
        </w:tc>
      </w:tr>
      <w:tr>
        <w:tc>
          <w:tcPr>
            <w:tcW w:type="dxa" w:w="1938"/>
            <w:shd w:val="clear" w:color="auto" w:fill="EBF3FA"/>
          </w:tcPr>
          <w:p>
            <w:r>
              <w:t>Expédition (Bâtiment principal)</w:t>
            </w:r>
          </w:p>
        </w:tc>
        <w:tc>
          <w:tcPr>
            <w:tcW w:type="dxa" w:w="1938"/>
            <w:shd w:val="clear" w:color="auto" w:fill="EBF3FA"/>
          </w:tcPr>
          <w:p>
            <w:r>
              <w:t>3</w:t>
            </w:r>
          </w:p>
        </w:tc>
        <w:tc>
          <w:tcPr>
            <w:tcW w:type="dxa" w:w="1938"/>
            <w:shd w:val="clear" w:color="auto" w:fill="EBF3FA"/>
          </w:tcPr>
          <w:p>
            <w:r>
              <w:t>20,0 kW</w:t>
            </w:r>
          </w:p>
        </w:tc>
        <w:tc>
          <w:tcPr>
            <w:tcW w:type="dxa" w:w="1938"/>
            <w:shd w:val="clear" w:color="auto" w:fill="EBF3FA"/>
          </w:tcPr>
          <w:p>
            <w:r>
              <w:t>58 500 kWh/an</w:t>
            </w:r>
          </w:p>
        </w:tc>
        <w:tc>
          <w:tcPr>
            <w:tcW w:type="dxa" w:w="1938"/>
            <w:shd w:val="clear" w:color="auto" w:fill="EBF3FA"/>
          </w:tcPr>
          <w:p>
            <w:r>
              <w:t>0,080 kW/m²</w:t>
            </w:r>
          </w:p>
        </w:tc>
      </w:tr>
      <w:tr>
        <w:tc>
          <w:tcPr>
            <w:tcW w:type="dxa" w:w="1938"/>
            <w:shd w:val="clear" w:color="auto" w:fill="FFFFFF"/>
          </w:tcPr>
          <w:p>
            <w:r>
              <w:t>Bureaux administration (Bâtiment tertiaire)</w:t>
            </w:r>
          </w:p>
        </w:tc>
        <w:tc>
          <w:tcPr>
            <w:tcW w:type="dxa" w:w="1938"/>
            <w:shd w:val="clear" w:color="auto" w:fill="FFFFFF"/>
          </w:tcPr>
          <w:p>
            <w:r>
              <w:t>4</w:t>
            </w:r>
          </w:p>
        </w:tc>
        <w:tc>
          <w:tcPr>
            <w:tcW w:type="dxa" w:w="1938"/>
            <w:shd w:val="clear" w:color="auto" w:fill="FFFFFF"/>
          </w:tcPr>
          <w:p>
            <w:r>
              <w:t>11,7 kW</w:t>
            </w:r>
          </w:p>
        </w:tc>
        <w:tc>
          <w:tcPr>
            <w:tcW w:type="dxa" w:w="1938"/>
            <w:shd w:val="clear" w:color="auto" w:fill="FFFFFF"/>
          </w:tcPr>
          <w:p>
            <w:r>
              <w:t>34 348 kWh/an</w:t>
            </w:r>
          </w:p>
        </w:tc>
        <w:tc>
          <w:tcPr>
            <w:tcW w:type="dxa" w:w="1938"/>
            <w:shd w:val="clear" w:color="auto" w:fill="FFFFFF"/>
          </w:tcPr>
          <w:p>
            <w:r>
              <w:t>0,065 kW/m²</w:t>
            </w:r>
          </w:p>
        </w:tc>
      </w:tr>
      <w:tr>
        <w:tc>
          <w:tcPr>
            <w:tcW w:type="dxa" w:w="1938"/>
            <w:shd w:val="clear" w:color="auto" w:fill="EBF3FA"/>
          </w:tcPr>
          <w:p>
            <w:r>
              <w:t>Contrôle qualité (Bâtiment principal)</w:t>
            </w:r>
          </w:p>
        </w:tc>
        <w:tc>
          <w:tcPr>
            <w:tcW w:type="dxa" w:w="1938"/>
            <w:shd w:val="clear" w:color="auto" w:fill="EBF3FA"/>
          </w:tcPr>
          <w:p>
            <w:r>
              <w:t>3</w:t>
            </w:r>
          </w:p>
        </w:tc>
        <w:tc>
          <w:tcPr>
            <w:tcW w:type="dxa" w:w="1938"/>
            <w:shd w:val="clear" w:color="auto" w:fill="EBF3FA"/>
          </w:tcPr>
          <w:p>
            <w:r>
              <w:t>11,5 kW</w:t>
            </w:r>
          </w:p>
        </w:tc>
        <w:tc>
          <w:tcPr>
            <w:tcW w:type="dxa" w:w="1938"/>
            <w:shd w:val="clear" w:color="auto" w:fill="EBF3FA"/>
          </w:tcPr>
          <w:p>
            <w:r>
              <w:t>23 750 kWh/an</w:t>
            </w:r>
          </w:p>
        </w:tc>
        <w:tc>
          <w:tcPr>
            <w:tcW w:type="dxa" w:w="1938"/>
            <w:shd w:val="clear" w:color="auto" w:fill="EBF3FA"/>
          </w:tcPr>
          <w:p>
            <w:r>
              <w:t>0,096 kW/m²</w:t>
            </w:r>
          </w:p>
        </w:tc>
      </w:tr>
      <w:tr>
        <w:tc>
          <w:tcPr>
            <w:tcW w:type="dxa" w:w="1938"/>
            <w:shd w:val="clear" w:color="auto" w:fill="FFFFFF"/>
          </w:tcPr>
          <w:p>
            <w:r>
              <w:t>Vestiaires (Bâtiment tertiaire)</w:t>
            </w:r>
          </w:p>
        </w:tc>
        <w:tc>
          <w:tcPr>
            <w:tcW w:type="dxa" w:w="1938"/>
            <w:shd w:val="clear" w:color="auto" w:fill="FFFFFF"/>
          </w:tcPr>
          <w:p>
            <w:r>
              <w:t>1</w:t>
            </w:r>
          </w:p>
        </w:tc>
        <w:tc>
          <w:tcPr>
            <w:tcW w:type="dxa" w:w="1938"/>
            <w:shd w:val="clear" w:color="auto" w:fill="FFFFFF"/>
          </w:tcPr>
          <w:p>
            <w:r>
              <w:t>3,0 kW</w:t>
            </w:r>
          </w:p>
        </w:tc>
        <w:tc>
          <w:tcPr>
            <w:tcW w:type="dxa" w:w="1938"/>
            <w:shd w:val="clear" w:color="auto" w:fill="FFFFFF"/>
          </w:tcPr>
          <w:p>
            <w:r>
              <w:t>13 500 kWh/an</w:t>
            </w:r>
          </w:p>
        </w:tc>
        <w:tc>
          <w:tcPr>
            <w:tcW w:type="dxa" w:w="1938"/>
            <w:shd w:val="clear" w:color="auto" w:fill="FFFFFF"/>
          </w:tcPr>
          <w:p>
            <w:r>
              <w:t>0,060 kW/m²</w:t>
            </w:r>
          </w:p>
        </w:tc>
      </w:tr>
      <w:tr>
        <w:tc>
          <w:tcPr>
            <w:tcW w:type="dxa" w:w="1938"/>
            <w:shd w:val="clear" w:color="auto" w:fill="EBF3FA"/>
          </w:tcPr>
          <w:p>
            <w:r>
              <w:t>Quai de chargement (Bâtiment principal)</w:t>
            </w:r>
          </w:p>
        </w:tc>
        <w:tc>
          <w:tcPr>
            <w:tcW w:type="dxa" w:w="1938"/>
            <w:shd w:val="clear" w:color="auto" w:fill="EBF3FA"/>
          </w:tcPr>
          <w:p>
            <w:r>
              <w:t>2</w:t>
            </w:r>
          </w:p>
        </w:tc>
        <w:tc>
          <w:tcPr>
            <w:tcW w:type="dxa" w:w="1938"/>
            <w:shd w:val="clear" w:color="auto" w:fill="EBF3FA"/>
          </w:tcPr>
          <w:p>
            <w:r>
              <w:t>3,4 kW</w:t>
            </w:r>
          </w:p>
        </w:tc>
        <w:tc>
          <w:tcPr>
            <w:tcW w:type="dxa" w:w="1938"/>
            <w:shd w:val="clear" w:color="auto" w:fill="EBF3FA"/>
          </w:tcPr>
          <w:p>
            <w:r>
              <w:t>9 200 kWh/an</w:t>
            </w:r>
          </w:p>
        </w:tc>
        <w:tc>
          <w:tcPr>
            <w:tcW w:type="dxa" w:w="1938"/>
            <w:shd w:val="clear" w:color="auto" w:fill="EBF3FA"/>
          </w:tcPr>
          <w:p>
            <w:r>
              <w:t>0,017 kW/m²</w:t>
            </w:r>
          </w:p>
        </w:tc>
      </w:tr>
      <w:tr>
        <w:tc>
          <w:tcPr>
            <w:tcW w:type="dxa" w:w="1938"/>
            <w:shd w:val="clear" w:color="auto" w:fill="FFFFFF"/>
          </w:tcPr>
          <w:p>
            <w:r>
              <w:t>Sanitaires (Bâtiment tertiaire)</w:t>
            </w:r>
          </w:p>
        </w:tc>
        <w:tc>
          <w:tcPr>
            <w:tcW w:type="dxa" w:w="1938"/>
            <w:shd w:val="clear" w:color="auto" w:fill="FFFFFF"/>
          </w:tcPr>
          <w:p>
            <w:r>
              <w:t>1</w:t>
            </w:r>
          </w:p>
        </w:tc>
        <w:tc>
          <w:tcPr>
            <w:tcW w:type="dxa" w:w="1938"/>
            <w:shd w:val="clear" w:color="auto" w:fill="FFFFFF"/>
          </w:tcPr>
          <w:p>
            <w:r>
              <w:t>0,6 kW</w:t>
            </w:r>
          </w:p>
        </w:tc>
        <w:tc>
          <w:tcPr>
            <w:tcW w:type="dxa" w:w="1938"/>
            <w:shd w:val="clear" w:color="auto" w:fill="FFFFFF"/>
          </w:tcPr>
          <w:p>
            <w:r>
              <w:t>2 475 kWh/an</w:t>
            </w:r>
          </w:p>
        </w:tc>
        <w:tc>
          <w:tcPr>
            <w:tcW w:type="dxa" w:w="1938"/>
            <w:shd w:val="clear" w:color="auto" w:fill="FFFFFF"/>
          </w:tcPr>
          <w:p>
            <w:r>
              <w:t>0,018 kW/m²</w:t>
            </w:r>
          </w:p>
        </w:tc>
      </w:tr>
      <w:tr>
        <w:tc>
          <w:tcPr>
            <w:tcW w:type="dxa" w:w="1938"/>
            <w:shd w:val="clear" w:color="auto" w:fill="EBF3FA"/>
          </w:tcPr>
          <w:p>
            <w:r>
              <w:t>Non affecté</w:t>
            </w:r>
          </w:p>
        </w:tc>
        <w:tc>
          <w:tcPr>
            <w:tcW w:type="dxa" w:w="1938"/>
            <w:shd w:val="clear" w:color="auto" w:fill="EBF3FA"/>
          </w:tcPr>
          <w:p>
            <w:r>
              <w:t>3</w:t>
            </w:r>
          </w:p>
        </w:tc>
        <w:tc>
          <w:tcPr>
            <w:tcW w:type="dxa" w:w="1938"/>
            <w:shd w:val="clear" w:color="auto" w:fill="EBF3FA"/>
          </w:tcPr>
          <w:p>
            <w:r>
              <w:t>0,0 kW</w:t>
            </w:r>
          </w:p>
        </w:tc>
        <w:tc>
          <w:tcPr>
            <w:tcW w:type="dxa" w:w="1938"/>
            <w:shd w:val="clear" w:color="auto" w:fill="EBF3FA"/>
          </w:tcPr>
          <w:p>
            <w:r>
              <w:t>0 kWh/an</w:t>
            </w:r>
          </w:p>
        </w:tc>
        <w:tc>
          <w:tcPr>
            <w:tcW w:type="dxa" w:w="1938"/>
            <w:shd w:val="clear" w:color="auto" w:fill="EBF3FA"/>
          </w:tcPr>
          <w:p>
            <w:r>
              <w:t>—</w:t>
            </w:r>
          </w:p>
        </w:tc>
      </w:tr>
    </w:tbl>
    <w:p>
      <w:r>
        <w:br w:type="page"/>
      </w:r>
    </w:p>
    <w:p>
      <w:pPr>
        <w:spacing w:before="0" w:after="80"/>
        <w:pBdr>
          <w:left w:val="single" w:sz="24" w:space="4" w:color="1F4E79"/>
        </w:pBdr>
        <w:shd w:val="clear" w:color="auto" w:fill="EBF3FA"/>
      </w:pPr>
      <w:r>
        <w:rPr>
          <w:b/>
          <w:color w:val="FFFFFF"/>
          <w:sz w:val="26"/>
          <w:shd w:val="clear" w:color="auto" w:fill="1F4E79"/>
        </w:rPr>
        <w:t xml:space="preserve">  8.  </w:t>
      </w:r>
      <w:r>
        <w:rPr>
          <w:b/>
          <w:color w:val="1F4E79"/>
          <w:sz w:val="26"/>
        </w:rPr>
        <w:t xml:space="preserve"> État initial — Comptage et régulation</w:t>
      </w:r>
    </w:p>
    <w:p>
      <w:pPr>
        <w:shd w:val="clear" w:color="auto" w:fill="D6E4F0"/>
      </w:pPr>
      <w:r>
        <w:rPr>
          <w:b/>
          <w:color w:val="1F4E79"/>
          <w:sz w:val="22"/>
        </w:rPr>
        <w:t xml:space="preserve">  Comptage électrique</w:t>
      </w:r>
    </w:p>
    <w:tbl>
      <w:tblPr>
        <w:tblStyle w:val="TableGrid"/>
        <w:tblW w:type="auto" w:w="0"/>
        <w:tblLook w:firstColumn="1" w:firstRow="1" w:lastColumn="0" w:lastRow="0" w:noHBand="0" w:noVBand="1" w:val="04A0"/>
      </w:tblPr>
      <w:tblGrid>
        <w:gridCol w:w="4844"/>
        <w:gridCol w:w="4844"/>
      </w:tblGrid>
      <w:tr>
        <w:tc>
          <w:tcPr>
            <w:tcW w:type="dxa" w:w="3402"/>
            <w:shd w:val="clear" w:color="auto" w:fill="EBF3FA"/>
          </w:tcPr>
          <w:p>
            <w:pPr>
              <w:spacing w:before="40" w:after="40"/>
            </w:pPr>
            <w:r>
              <w:rPr>
                <w:b/>
                <w:color w:val="1F4E79"/>
                <w:sz w:val="18"/>
              </w:rPr>
              <w:t>Point de Livraison (PDL)</w:t>
            </w:r>
          </w:p>
        </w:tc>
        <w:tc>
          <w:tcPr>
            <w:tcW w:type="dxa" w:w="5669"/>
            <w:shd w:val="clear" w:color="auto" w:fill="EBF3FA"/>
          </w:tcPr>
          <w:p>
            <w:pPr>
              <w:spacing w:before="40" w:after="40"/>
            </w:pPr>
            <w:r>
              <w:rPr>
                <w:sz w:val="18"/>
              </w:rPr>
              <w:t>30001234567890</w:t>
            </w:r>
          </w:p>
        </w:tc>
      </w:tr>
      <w:tr>
        <w:tc>
          <w:tcPr>
            <w:tcW w:type="dxa" w:w="3402"/>
            <w:shd w:val="clear" w:color="auto" w:fill="FFFFFF"/>
          </w:tcPr>
          <w:p>
            <w:pPr>
              <w:spacing w:before="40" w:after="40"/>
            </w:pPr>
            <w:r>
              <w:rPr>
                <w:b/>
                <w:color w:val="1F4E79"/>
                <w:sz w:val="18"/>
              </w:rPr>
              <w:t>Puissance souscrite</w:t>
            </w:r>
          </w:p>
        </w:tc>
        <w:tc>
          <w:tcPr>
            <w:tcW w:type="dxa" w:w="5669"/>
            <w:shd w:val="clear" w:color="auto" w:fill="FFFFFF"/>
          </w:tcPr>
          <w:p>
            <w:pPr>
              <w:spacing w:before="40" w:after="40"/>
            </w:pPr>
            <w:r>
              <w:rPr>
                <w:sz w:val="18"/>
              </w:rPr>
              <w:t>1250 kVA</w:t>
            </w:r>
          </w:p>
        </w:tc>
      </w:tr>
      <w:tr>
        <w:tc>
          <w:tcPr>
            <w:tcW w:type="dxa" w:w="3402"/>
            <w:shd w:val="clear" w:color="auto" w:fill="EBF3FA"/>
          </w:tcPr>
          <w:p>
            <w:pPr>
              <w:spacing w:before="40" w:after="40"/>
            </w:pPr>
            <w:r>
              <w:rPr>
                <w:b/>
                <w:color w:val="1F4E79"/>
                <w:sz w:val="18"/>
              </w:rPr>
              <w:t>Option tarifaire</w:t>
            </w:r>
          </w:p>
        </w:tc>
        <w:tc>
          <w:tcPr>
            <w:tcW w:type="dxa" w:w="5669"/>
            <w:shd w:val="clear" w:color="auto" w:fill="EBF3FA"/>
          </w:tcPr>
          <w:p>
            <w:pPr>
              <w:spacing w:before="40" w:after="40"/>
            </w:pPr>
            <w:r>
              <w:rPr>
                <w:sz w:val="18"/>
              </w:rPr>
              <w:t>A5 HTA</w:t>
            </w:r>
          </w:p>
        </w:tc>
      </w:tr>
    </w:tbl>
    <w:p/>
    <w:p>
      <w:pPr>
        <w:shd w:val="clear" w:color="auto" w:fill="D6E4F0"/>
      </w:pPr>
      <w:r>
        <w:rPr>
          <w:b/>
          <w:color w:val="1F4E79"/>
          <w:sz w:val="22"/>
        </w:rPr>
        <w:t xml:space="preserve">  Régime d'exploitation</w:t>
      </w:r>
    </w:p>
    <w:tbl>
      <w:tblPr>
        <w:tblStyle w:val="TableGrid"/>
        <w:tblW w:type="auto" w:w="0"/>
        <w:tblLook w:firstColumn="1" w:firstRow="1" w:lastColumn="0" w:lastRow="0" w:noHBand="0" w:noVBand="1" w:val="04A0"/>
      </w:tblPr>
      <w:tblGrid>
        <w:gridCol w:w="4844"/>
        <w:gridCol w:w="4844"/>
      </w:tblGrid>
      <w:tr>
        <w:tc>
          <w:tcPr>
            <w:tcW w:type="dxa" w:w="3402"/>
            <w:shd w:val="clear" w:color="auto" w:fill="EBF3FA"/>
          </w:tcPr>
          <w:p>
            <w:pPr>
              <w:spacing w:before="40" w:after="40"/>
            </w:pPr>
            <w:r>
              <w:rPr>
                <w:b/>
                <w:color w:val="1F4E79"/>
                <w:sz w:val="18"/>
              </w:rPr>
              <w:t>Régime de production</w:t>
            </w:r>
          </w:p>
        </w:tc>
        <w:tc>
          <w:tcPr>
            <w:tcW w:type="dxa" w:w="5669"/>
            <w:shd w:val="clear" w:color="auto" w:fill="EBF3FA"/>
          </w:tcPr>
          <w:p>
            <w:pPr>
              <w:spacing w:before="40" w:after="40"/>
            </w:pPr>
            <w:r>
              <w:rPr>
                <w:sz w:val="18"/>
              </w:rPr>
              <w:t>2x8</w:t>
            </w:r>
          </w:p>
        </w:tc>
      </w:tr>
      <w:tr>
        <w:tc>
          <w:tcPr>
            <w:tcW w:type="dxa" w:w="3402"/>
            <w:shd w:val="clear" w:color="auto" w:fill="FFFFFF"/>
          </w:tcPr>
          <w:p>
            <w:pPr>
              <w:spacing w:before="40" w:after="40"/>
            </w:pPr>
            <w:r>
              <w:rPr>
                <w:b/>
                <w:color w:val="1F4E79"/>
                <w:sz w:val="18"/>
              </w:rPr>
              <w:t>Heures process</w:t>
            </w:r>
          </w:p>
        </w:tc>
        <w:tc>
          <w:tcPr>
            <w:tcW w:type="dxa" w:w="5669"/>
            <w:shd w:val="clear" w:color="auto" w:fill="FFFFFF"/>
          </w:tcPr>
          <w:p>
            <w:pPr>
              <w:spacing w:before="40" w:after="40"/>
            </w:pPr>
            <w:r>
              <w:rPr>
                <w:sz w:val="18"/>
              </w:rPr>
              <w:t>4000 h/an</w:t>
            </w:r>
          </w:p>
        </w:tc>
      </w:tr>
      <w:tr>
        <w:tc>
          <w:tcPr>
            <w:tcW w:type="dxa" w:w="3402"/>
            <w:shd w:val="clear" w:color="auto" w:fill="EBF3FA"/>
          </w:tcPr>
          <w:p>
            <w:pPr>
              <w:spacing w:before="40" w:after="40"/>
            </w:pPr>
            <w:r>
              <w:rPr>
                <w:b/>
                <w:color w:val="1F4E79"/>
                <w:sz w:val="18"/>
              </w:rPr>
              <w:t>Heures utilités</w:t>
            </w:r>
          </w:p>
        </w:tc>
        <w:tc>
          <w:tcPr>
            <w:tcW w:type="dxa" w:w="5669"/>
            <w:shd w:val="clear" w:color="auto" w:fill="EBF3FA"/>
          </w:tcPr>
          <w:p>
            <w:pPr>
              <w:spacing w:before="40" w:after="40"/>
            </w:pPr>
            <w:r>
              <w:rPr>
                <w:sz w:val="18"/>
              </w:rPr>
              <w:t>4992 h/an</w:t>
            </w:r>
          </w:p>
        </w:tc>
      </w:tr>
      <w:tr>
        <w:tc>
          <w:tcPr>
            <w:tcW w:type="dxa" w:w="3402"/>
            <w:shd w:val="clear" w:color="auto" w:fill="FFFFFF"/>
          </w:tcPr>
          <w:p>
            <w:pPr>
              <w:spacing w:before="40" w:after="40"/>
            </w:pPr>
            <w:r>
              <w:rPr>
                <w:b/>
                <w:color w:val="1F4E79"/>
                <w:sz w:val="18"/>
              </w:rPr>
              <w:t>Plage horaire</w:t>
            </w:r>
          </w:p>
        </w:tc>
        <w:tc>
          <w:tcPr>
            <w:tcW w:type="dxa" w:w="5669"/>
            <w:shd w:val="clear" w:color="auto" w:fill="FFFFFF"/>
          </w:tcPr>
          <w:p>
            <w:pPr>
              <w:spacing w:before="40" w:after="40"/>
            </w:pPr>
            <w:r>
              <w:rPr>
                <w:sz w:val="18"/>
              </w:rPr>
              <w:t>5 — 21</w:t>
            </w:r>
          </w:p>
        </w:tc>
      </w:tr>
      <w:tr>
        <w:tc>
          <w:tcPr>
            <w:tcW w:type="dxa" w:w="3402"/>
            <w:shd w:val="clear" w:color="auto" w:fill="EBF3FA"/>
          </w:tcPr>
          <w:p>
            <w:pPr>
              <w:spacing w:before="40" w:after="40"/>
            </w:pPr>
            <w:r>
              <w:rPr>
                <w:b/>
                <w:color w:val="1F4E79"/>
                <w:sz w:val="18"/>
              </w:rPr>
              <w:t>Effectif total</w:t>
            </w:r>
          </w:p>
        </w:tc>
        <w:tc>
          <w:tcPr>
            <w:tcW w:type="dxa" w:w="5669"/>
            <w:shd w:val="clear" w:color="auto" w:fill="EBF3FA"/>
          </w:tcPr>
          <w:p>
            <w:pPr>
              <w:spacing w:before="40" w:after="40"/>
            </w:pPr>
            <w:r>
              <w:rPr>
                <w:sz w:val="18"/>
              </w:rPr>
              <w:t>100</w:t>
            </w:r>
          </w:p>
        </w:tc>
      </w:tr>
    </w:tbl>
    <w:p/>
    <w:p>
      <w:r>
        <w:br w:type="page"/>
      </w:r>
    </w:p>
    <w:p>
      <w:pPr>
        <w:spacing w:before="0" w:after="80"/>
        <w:pBdr>
          <w:left w:val="single" w:sz="24" w:space="4" w:color="1F4E79"/>
        </w:pBdr>
        <w:shd w:val="clear" w:color="auto" w:fill="EBF3FA"/>
      </w:pPr>
      <w:r>
        <w:rPr>
          <w:b/>
          <w:color w:val="FFFFFF"/>
          <w:sz w:val="26"/>
          <w:shd w:val="clear" w:color="auto" w:fill="1F4E79"/>
        </w:rPr>
        <w:t xml:space="preserve">  9.  </w:t>
      </w:r>
      <w:r>
        <w:rPr>
          <w:b/>
          <w:color w:val="1F4E79"/>
          <w:sz w:val="26"/>
        </w:rPr>
        <w:t xml:space="preserve"> Consommations énergétiques</w:t>
      </w:r>
    </w:p>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Consommation totale</w:t>
            </w:r>
          </w:p>
          <w:p>
            <w:pPr>
              <w:spacing w:before="0" w:after="40"/>
              <w:ind w:left="120"/>
            </w:pPr>
            <w:r>
              <w:rPr>
                <w:b/>
                <w:color w:val="1F4E79"/>
                <w:sz w:val="30"/>
              </w:rPr>
              <w:t>14 000 794</w:t>
            </w:r>
            <w:r>
              <w:rPr>
                <w:color w:val="555555"/>
                <w:sz w:val="16"/>
              </w:rPr>
              <w:t xml:space="preserve"> kWh/an</w:t>
            </w:r>
          </w:p>
        </w:tc>
        <w:tc>
          <w:tcPr>
            <w:tcW w:type="dxa" w:w="2422"/>
            <w:shd w:val="clear" w:color="auto" w:fill="EBF3FA"/>
            <w:tcBdr>
              <w:top w:val="single" w:sz="12" w:color="2E5F8A"/>
            </w:tcBdr>
          </w:tcPr>
          <w:p>
            <w:pPr>
              <w:spacing w:before="80" w:after="0"/>
              <w:ind w:left="120"/>
            </w:pPr>
            <w:r>
              <w:rPr>
                <w:color w:val="555555"/>
                <w:sz w:val="16"/>
              </w:rPr>
              <w:t>Énergie primaire</w:t>
            </w:r>
          </w:p>
          <w:p>
            <w:pPr>
              <w:spacing w:before="0" w:after="40"/>
              <w:ind w:left="120"/>
            </w:pPr>
            <w:r>
              <w:rPr>
                <w:b/>
                <w:color w:val="2E5F8A"/>
                <w:sz w:val="30"/>
              </w:rPr>
              <w:t>27 424 163</w:t>
            </w:r>
            <w:r>
              <w:rPr>
                <w:color w:val="555555"/>
                <w:sz w:val="16"/>
              </w:rPr>
              <w:t xml:space="preserve"> kWh ep/an</w:t>
            </w:r>
          </w:p>
        </w:tc>
        <w:tc>
          <w:tcPr>
            <w:tcW w:type="dxa" w:w="2422"/>
            <w:shd w:val="clear" w:color="auto" w:fill="EBF3FA"/>
            <w:tcBdr>
              <w:top w:val="single" w:sz="12" w:color="C45A00"/>
            </w:tcBdr>
          </w:tcPr>
          <w:p>
            <w:pPr>
              <w:spacing w:before="80" w:after="0"/>
              <w:ind w:left="120"/>
            </w:pPr>
            <w:r>
              <w:rPr>
                <w:color w:val="555555"/>
                <w:sz w:val="16"/>
              </w:rPr>
              <w:t>Coût énergétique</w:t>
            </w:r>
          </w:p>
          <w:p>
            <w:pPr>
              <w:spacing w:before="0" w:after="40"/>
              <w:ind w:left="120"/>
            </w:pPr>
            <w:r>
              <w:rPr>
                <w:b/>
                <w:color w:val="C45A00"/>
                <w:sz w:val="30"/>
              </w:rPr>
              <w:t>1 204 000</w:t>
            </w:r>
            <w:r>
              <w:rPr>
                <w:color w:val="555555"/>
                <w:sz w:val="16"/>
              </w:rPr>
              <w:t xml:space="preserve"> €/an</w:t>
            </w:r>
          </w:p>
        </w:tc>
        <w:tc>
          <w:tcPr>
            <w:tcW w:type="dxa" w:w="2422"/>
            <w:shd w:val="clear" w:color="auto" w:fill="EBF3FA"/>
            <w:tcBdr>
              <w:top w:val="single" w:sz="12" w:color="1A7A45"/>
            </w:tcBdr>
          </w:tcPr>
          <w:p>
            <w:pPr>
              <w:spacing w:before="80" w:after="0"/>
              <w:ind w:left="120"/>
            </w:pPr>
            <w:r>
              <w:rPr>
                <w:color w:val="555555"/>
                <w:sz w:val="16"/>
              </w:rPr>
              <w:t>Émissions CO₂</w:t>
            </w:r>
          </w:p>
          <w:p>
            <w:pPr>
              <w:spacing w:before="0" w:after="40"/>
              <w:ind w:left="120"/>
            </w:pPr>
            <w:r>
              <w:rPr>
                <w:b/>
                <w:color w:val="1A7A45"/>
                <w:sz w:val="30"/>
              </w:rPr>
              <w:t>1 588,6</w:t>
            </w:r>
            <w:r>
              <w:rPr>
                <w:color w:val="555555"/>
                <w:sz w:val="16"/>
              </w:rPr>
              <w:t xml:space="preserve"> tCO₂/an</w:t>
            </w:r>
          </w:p>
        </w:tc>
      </w:tr>
    </w:tbl>
    <w:p>
      <w:pPr>
        <w:spacing w:after="80"/>
      </w:pPr>
    </w:p>
    <w:tbl>
      <w:tblPr>
        <w:tblStyle w:val="TableGrid"/>
        <w:tblW w:type="auto" w:w="0"/>
        <w:tblLook w:firstColumn="1" w:firstRow="1" w:lastColumn="0" w:lastRow="0" w:noHBand="0" w:noVBand="1" w:val="04A0"/>
      </w:tblPr>
      <w:tblGrid>
        <w:gridCol w:w="1938"/>
        <w:gridCol w:w="1938"/>
        <w:gridCol w:w="1938"/>
        <w:gridCol w:w="1938"/>
        <w:gridCol w:w="1938"/>
      </w:tblGrid>
      <w:tr>
        <w:tc>
          <w:tcPr>
            <w:tcW w:type="dxa" w:w="1938"/>
            <w:shd w:val="clear" w:color="auto" w:fill="1F4E79"/>
          </w:tcPr>
          <w:p>
            <w:pPr>
              <w:jc w:val="center"/>
            </w:pPr>
            <w:r>
              <w:rPr>
                <w:b/>
                <w:color w:val="FFFFFF"/>
              </w:rPr>
              <w:t>Énergie</w:t>
            </w:r>
          </w:p>
        </w:tc>
        <w:tc>
          <w:tcPr>
            <w:tcW w:type="dxa" w:w="1938"/>
            <w:shd w:val="clear" w:color="auto" w:fill="1F4E79"/>
          </w:tcPr>
          <w:p>
            <w:pPr>
              <w:jc w:val="center"/>
            </w:pPr>
            <w:r>
              <w:rPr>
                <w:b/>
                <w:color w:val="FFFFFF"/>
              </w:rPr>
              <w:t>kWh/an</w:t>
            </w:r>
          </w:p>
        </w:tc>
        <w:tc>
          <w:tcPr>
            <w:tcW w:type="dxa" w:w="1938"/>
            <w:shd w:val="clear" w:color="auto" w:fill="1F4E79"/>
          </w:tcPr>
          <w:p>
            <w:pPr>
              <w:jc w:val="center"/>
            </w:pPr>
            <w:r>
              <w:rPr>
                <w:b/>
                <w:color w:val="FFFFFF"/>
              </w:rPr>
              <w:t>kWh EP/an</w:t>
            </w:r>
          </w:p>
        </w:tc>
        <w:tc>
          <w:tcPr>
            <w:tcW w:type="dxa" w:w="1938"/>
            <w:shd w:val="clear" w:color="auto" w:fill="1F4E79"/>
          </w:tcPr>
          <w:p>
            <w:pPr>
              <w:jc w:val="center"/>
            </w:pPr>
            <w:r>
              <w:rPr>
                <w:b/>
                <w:color w:val="FFFFFF"/>
              </w:rPr>
              <w:t>Coût €/an</w:t>
            </w:r>
          </w:p>
        </w:tc>
        <w:tc>
          <w:tcPr>
            <w:tcW w:type="dxa" w:w="1938"/>
            <w:shd w:val="clear" w:color="auto" w:fill="1F4E79"/>
          </w:tcPr>
          <w:p>
            <w:pPr>
              <w:jc w:val="center"/>
            </w:pPr>
            <w:r>
              <w:rPr>
                <w:b/>
                <w:color w:val="FFFFFF"/>
              </w:rPr>
              <w:t>tCO₂/an</w:t>
            </w:r>
          </w:p>
        </w:tc>
      </w:tr>
      <w:tr>
        <w:tc>
          <w:tcPr>
            <w:tcW w:type="dxa" w:w="1938"/>
            <w:shd w:val="clear" w:color="auto" w:fill="FFFFFF"/>
          </w:tcPr>
          <w:p>
            <w:r>
              <w:t>Électricité</w:t>
            </w:r>
          </w:p>
        </w:tc>
        <w:tc>
          <w:tcPr>
            <w:tcW w:type="dxa" w:w="1938"/>
            <w:shd w:val="clear" w:color="auto" w:fill="FFFFFF"/>
          </w:tcPr>
          <w:p>
            <w:r>
              <w:t>8 495 803</w:t>
            </w:r>
          </w:p>
        </w:tc>
        <w:tc>
          <w:tcPr>
            <w:tcW w:type="dxa" w:w="1938"/>
            <w:shd w:val="clear" w:color="auto" w:fill="FFFFFF"/>
          </w:tcPr>
          <w:p>
            <w:r>
              <w:t>21 919 172</w:t>
            </w:r>
          </w:p>
        </w:tc>
        <w:tc>
          <w:tcPr>
            <w:tcW w:type="dxa" w:w="1938"/>
            <w:shd w:val="clear" w:color="auto" w:fill="FFFFFF"/>
          </w:tcPr>
          <w:p>
            <w:r>
              <w:t>950 000</w:t>
            </w:r>
          </w:p>
        </w:tc>
        <w:tc>
          <w:tcPr>
            <w:tcW w:type="dxa" w:w="1938"/>
            <w:shd w:val="clear" w:color="auto" w:fill="FFFFFF"/>
          </w:tcPr>
          <w:p>
            <w:r>
              <w:t>476,61</w:t>
            </w:r>
          </w:p>
        </w:tc>
      </w:tr>
      <w:tr>
        <w:tc>
          <w:tcPr>
            <w:tcW w:type="dxa" w:w="1938"/>
            <w:shd w:val="clear" w:color="auto" w:fill="EBF3FA"/>
          </w:tcPr>
          <w:p>
            <w:r>
              <w:t>Gaz naturel</w:t>
            </w:r>
          </w:p>
        </w:tc>
        <w:tc>
          <w:tcPr>
            <w:tcW w:type="dxa" w:w="1938"/>
            <w:shd w:val="clear" w:color="auto" w:fill="EBF3FA"/>
          </w:tcPr>
          <w:p>
            <w:r>
              <w:t>5 504 991</w:t>
            </w:r>
          </w:p>
        </w:tc>
        <w:tc>
          <w:tcPr>
            <w:tcW w:type="dxa" w:w="1938"/>
            <w:shd w:val="clear" w:color="auto" w:fill="EBF3FA"/>
          </w:tcPr>
          <w:p>
            <w:r>
              <w:t>5 504 991</w:t>
            </w:r>
          </w:p>
        </w:tc>
        <w:tc>
          <w:tcPr>
            <w:tcW w:type="dxa" w:w="1938"/>
            <w:shd w:val="clear" w:color="auto" w:fill="EBF3FA"/>
          </w:tcPr>
          <w:p>
            <w:r>
              <w:t>254 000</w:t>
            </w:r>
          </w:p>
        </w:tc>
        <w:tc>
          <w:tcPr>
            <w:tcW w:type="dxa" w:w="1938"/>
            <w:shd w:val="clear" w:color="auto" w:fill="EBF3FA"/>
          </w:tcPr>
          <w:p>
            <w:r>
              <w:t>1 112,01</w:t>
            </w:r>
          </w:p>
        </w:tc>
      </w:tr>
    </w:tbl>
    <w:p/>
    <w:p>
      <w:pPr>
        <w:jc w:val="center"/>
      </w:pPr>
      <w:r>
        <w:drawing>
          <wp:inline xmlns:a="http://schemas.openxmlformats.org/drawingml/2006/main" xmlns:pic="http://schemas.openxmlformats.org/drawingml/2006/picture">
            <wp:extent cx="4320000" cy="4403368"/>
            <wp:docPr id="1" name="Picture 1"/>
            <wp:cNvGraphicFramePr>
              <a:graphicFrameLocks noChangeAspect="1"/>
            </wp:cNvGraphicFramePr>
            <a:graphic>
              <a:graphicData uri="http://schemas.openxmlformats.org/drawingml/2006/picture">
                <pic:pic>
                  <pic:nvPicPr>
                    <pic:cNvPr id="0" name="tmp2ihk10td.png"/>
                    <pic:cNvPicPr/>
                  </pic:nvPicPr>
                  <pic:blipFill>
                    <a:blip r:embed="rId9"/>
                    <a:stretch>
                      <a:fillRect/>
                    </a:stretch>
                  </pic:blipFill>
                  <pic:spPr>
                    <a:xfrm>
                      <a:off x="0" y="0"/>
                      <a:ext cx="4320000" cy="4403368"/>
                    </a:xfrm>
                    <a:prstGeom prst="rect"/>
                  </pic:spPr>
                </pic:pic>
              </a:graphicData>
            </a:graphic>
          </wp:inline>
        </w:drawing>
      </w:r>
    </w:p>
    <w:p>
      <w:r>
        <w:br w:type="page"/>
      </w:r>
    </w:p>
    <w:p>
      <w:pPr>
        <w:spacing w:before="0" w:after="80"/>
        <w:pBdr>
          <w:left w:val="single" w:sz="24" w:space="4" w:color="1F4E79"/>
        </w:pBdr>
        <w:shd w:val="clear" w:color="auto" w:fill="EBF3FA"/>
      </w:pPr>
      <w:r>
        <w:rPr>
          <w:b/>
          <w:color w:val="FFFFFF"/>
          <w:sz w:val="26"/>
          <w:shd w:val="clear" w:color="auto" w:fill="1F4E79"/>
        </w:rPr>
        <w:t xml:space="preserve">  10.  </w:t>
      </w:r>
      <w:r>
        <w:rPr>
          <w:b/>
          <w:color w:val="1F4E79"/>
          <w:sz w:val="26"/>
        </w:rPr>
        <w:t xml:space="preserve"> Indicateurs de Performance Énergétique (IPE)</w:t>
      </w:r>
    </w:p>
    <w:p/>
    <w:p>
      <w:r>
        <w:rPr>
          <w:b/>
          <w:color w:val="1F4E79"/>
          <w:sz w:val="22"/>
        </w:rPr>
        <w:t>Situation Énergétique de Référence (SER)</w:t>
      </w:r>
    </w:p>
    <w:p>
      <w:r>
        <w:t>La SER sert de point zéro à toute évaluation ultérieure des gains énergétiques : c'est par rapport à elle que sera mesurée, dans la durée, l'efficacité réelle des actions mises en œuvre. Elle est construite à partir de l'historique de consommation du site, des données d'activité disponibles et des facteurs d'influence pertinents identifiés pour ce site (niveau de production, conditions climatiques, régime d'exploitation).</w:t>
      </w:r>
    </w:p>
    <w:p>
      <w:r>
        <w:t>Conformément aux principes de l'ISO 50006, cette référence n'est pas figée : elle doit être révisée dès lors que le périmètre, le niveau d'activité, les procédés, les équipements ou les conditions d'exploitation évoluent de manière significative. Utilisée comme outil de pilotage, elle permet au site de suivre dans le temps l'efficacité de ses actions et d'ancrer une véritable démarche d'amélioration continue de sa performance énergétique.</w:t>
      </w:r>
    </w:p>
    <w:p/>
    <w:tbl>
      <w:tblPr>
        <w:tblStyle w:val="TableGrid"/>
        <w:tblW w:type="auto" w:w="0"/>
        <w:tblLook w:firstColumn="1" w:firstRow="1" w:lastColumn="0" w:lastRow="0" w:noHBand="0" w:noVBand="1" w:val="04A0"/>
      </w:tblPr>
      <w:tblGrid>
        <w:gridCol w:w="3230"/>
        <w:gridCol w:w="3230"/>
        <w:gridCol w:w="3230"/>
      </w:tblGrid>
      <w:tr>
        <w:tc>
          <w:tcPr>
            <w:tcW w:type="dxa" w:w="3230"/>
            <w:shd w:val="clear" w:color="auto" w:fill="1F4E79"/>
          </w:tcPr>
          <w:p>
            <w:pPr>
              <w:jc w:val="center"/>
            </w:pPr>
            <w:r>
              <w:rPr>
                <w:b/>
                <w:color w:val="FFFFFF"/>
              </w:rPr>
              <w:t>Indicateur</w:t>
            </w:r>
          </w:p>
        </w:tc>
        <w:tc>
          <w:tcPr>
            <w:tcW w:type="dxa" w:w="3230"/>
            <w:shd w:val="clear" w:color="auto" w:fill="1F4E79"/>
          </w:tcPr>
          <w:p>
            <w:pPr>
              <w:jc w:val="center"/>
            </w:pPr>
            <w:r>
              <w:rPr>
                <w:b/>
                <w:color w:val="FFFFFF"/>
              </w:rPr>
              <w:t>Valeur</w:t>
            </w:r>
          </w:p>
        </w:tc>
        <w:tc>
          <w:tcPr>
            <w:tcW w:type="dxa" w:w="3230"/>
            <w:shd w:val="clear" w:color="auto" w:fill="1F4E79"/>
          </w:tcPr>
          <w:p>
            <w:pPr>
              <w:jc w:val="center"/>
            </w:pPr>
            <w:r>
              <w:rPr>
                <w:b/>
                <w:color w:val="FFFFFF"/>
              </w:rPr>
              <w:t>Référence sectorielle</w:t>
            </w:r>
          </w:p>
        </w:tc>
      </w:tr>
      <w:tr>
        <w:tc>
          <w:tcPr>
            <w:tcW w:type="dxa" w:w="3230"/>
            <w:shd w:val="clear" w:color="auto" w:fill="FFFFFF"/>
          </w:tcPr>
          <w:p>
            <w:r>
              <w:t>IPE surface</w:t>
            </w:r>
          </w:p>
        </w:tc>
        <w:tc>
          <w:tcPr>
            <w:tcW w:type="dxa" w:w="3230"/>
            <w:shd w:val="clear" w:color="auto" w:fill="FFFFFF"/>
          </w:tcPr>
          <w:p>
            <w:r>
              <w:t>1 482,4 kWh ep/m²/an</w:t>
            </w:r>
          </w:p>
        </w:tc>
        <w:tc>
          <w:tcPr>
            <w:tcW w:type="dxa" w:w="3230"/>
            <w:shd w:val="clear" w:color="auto" w:fill="FFFFFF"/>
          </w:tcPr>
          <w:p>
            <w:r>
              <w:t>IPE supérieur à la moyenne du secteur (&gt; 1200 kWh ep/m²/an). Gisement estimé : 6…</w:t>
            </w:r>
          </w:p>
        </w:tc>
      </w:tr>
      <w:tr>
        <w:tc>
          <w:tcPr>
            <w:tcW w:type="dxa" w:w="3230"/>
            <w:shd w:val="clear" w:color="auto" w:fill="EBF3FA"/>
          </w:tcPr>
          <w:p>
            <w:r>
              <w:t>IPE par personne</w:t>
            </w:r>
          </w:p>
        </w:tc>
        <w:tc>
          <w:tcPr>
            <w:tcW w:type="dxa" w:w="3230"/>
            <w:shd w:val="clear" w:color="auto" w:fill="EBF3FA"/>
          </w:tcPr>
          <w:p>
            <w:r>
              <w:t>189 132 kWh ep/pers/an</w:t>
            </w:r>
          </w:p>
        </w:tc>
        <w:tc>
          <w:tcPr>
            <w:tcW w:type="dxa" w:w="3230"/>
            <w:shd w:val="clear" w:color="auto" w:fill="EBF3FA"/>
          </w:tcPr>
          <w:p>
            <w:r>
              <w:t>—</w:t>
            </w:r>
          </w:p>
        </w:tc>
      </w:tr>
      <w:tr>
        <w:tc>
          <w:tcPr>
            <w:tcW w:type="dxa" w:w="3230"/>
            <w:shd w:val="clear" w:color="auto" w:fill="FFFFFF"/>
          </w:tcPr>
          <w:p>
            <w:r>
              <w:t>IPE chiffre d'affaires</w:t>
            </w:r>
          </w:p>
        </w:tc>
        <w:tc>
          <w:tcPr>
            <w:tcW w:type="dxa" w:w="3230"/>
            <w:shd w:val="clear" w:color="auto" w:fill="FFFFFF"/>
          </w:tcPr>
          <w:p>
            <w:r>
              <w:t>1 119,35 kWh ep/k€</w:t>
            </w:r>
          </w:p>
        </w:tc>
        <w:tc>
          <w:tcPr>
            <w:tcW w:type="dxa" w:w="3230"/>
            <w:shd w:val="clear" w:color="auto" w:fill="FFFFFF"/>
          </w:tcPr>
          <w:p>
            <w:r>
              <w:t>—</w:t>
            </w:r>
          </w:p>
        </w:tc>
      </w:tr>
    </w:tbl>
    <w:p/>
    <w:p>
      <w:r>
        <w:rPr>
          <w:b/>
        </w:rPr>
        <w:t xml:space="preserve">⚠️ Note : </w:t>
      </w:r>
      <w:r>
        <w:rPr>
          <w:i/>
          <w:sz w:val="18"/>
        </w:rPr>
        <w:t>L'IPE surface du site (1 482 kWh ep/m²/an) est supérieur à la moyenne du secteur Industrie - Fonderie. Un gisement significatif de 66.3% est identifié pour atteindre le niveau meilleur élève (500 kWh ep/m²/an)  soit environ 9 283 MWh d'économies potentielles. Le plan d'actions (section 5) détaille les mesures prioritaires.</w:t>
      </w:r>
    </w:p>
    <w:p/>
    <w:p>
      <w:r>
        <w:rPr>
          <w:b/>
          <w:color w:val="1F4E79"/>
          <w:sz w:val="22"/>
        </w:rPr>
        <w:t>Régressions linéaires validées (R² ≥ 0.85)</w:t>
      </w:r>
    </w:p>
    <w:p/>
    <w:tbl>
      <w:tblPr>
        <w:tblStyle w:val="TableGrid"/>
        <w:tblW w:type="auto" w:w="0"/>
        <w:tblLook w:firstColumn="1" w:firstRow="1" w:lastColumn="0" w:lastRow="0" w:noHBand="0" w:noVBand="1" w:val="04A0"/>
      </w:tblPr>
      <w:tblGrid>
        <w:gridCol w:w="1384"/>
        <w:gridCol w:w="1384"/>
        <w:gridCol w:w="1384"/>
        <w:gridCol w:w="1384"/>
        <w:gridCol w:w="1384"/>
        <w:gridCol w:w="1384"/>
        <w:gridCol w:w="1384"/>
      </w:tblGrid>
      <w:tr>
        <w:tc>
          <w:tcPr>
            <w:tcW w:type="dxa" w:w="1384"/>
            <w:shd w:val="clear" w:color="auto" w:fill="1F4E79"/>
          </w:tcPr>
          <w:p>
            <w:pPr>
              <w:jc w:val="center"/>
            </w:pPr>
            <w:r>
              <w:rPr>
                <w:b/>
                <w:color w:val="FFFFFF"/>
              </w:rPr>
              <w:t>Process / Énergie</w:t>
            </w:r>
          </w:p>
        </w:tc>
        <w:tc>
          <w:tcPr>
            <w:tcW w:type="dxa" w:w="1384"/>
            <w:shd w:val="clear" w:color="auto" w:fill="1F4E79"/>
          </w:tcPr>
          <w:p>
            <w:pPr>
              <w:jc w:val="center"/>
            </w:pPr>
            <w:r>
              <w:rPr>
                <w:b/>
                <w:color w:val="FFFFFF"/>
              </w:rPr>
              <w:t>Type</w:t>
            </w:r>
          </w:p>
        </w:tc>
        <w:tc>
          <w:tcPr>
            <w:tcW w:type="dxa" w:w="1384"/>
            <w:shd w:val="clear" w:color="auto" w:fill="1F4E79"/>
          </w:tcPr>
          <w:p>
            <w:pPr>
              <w:jc w:val="center"/>
            </w:pPr>
            <w:r>
              <w:rPr>
                <w:b/>
                <w:color w:val="FFFFFF"/>
              </w:rPr>
              <w:t>R²</w:t>
            </w:r>
          </w:p>
        </w:tc>
        <w:tc>
          <w:tcPr>
            <w:tcW w:type="dxa" w:w="1384"/>
            <w:shd w:val="clear" w:color="auto" w:fill="1F4E79"/>
          </w:tcPr>
          <w:p>
            <w:pPr>
              <w:jc w:val="center"/>
            </w:pPr>
            <w:r>
              <w:rPr>
                <w:b/>
                <w:color w:val="FFFFFF"/>
              </w:rPr>
              <w:t>p-value</w:t>
            </w:r>
          </w:p>
        </w:tc>
        <w:tc>
          <w:tcPr>
            <w:tcW w:type="dxa" w:w="1384"/>
            <w:shd w:val="clear" w:color="auto" w:fill="1F4E79"/>
          </w:tcPr>
          <w:p>
            <w:pPr>
              <w:jc w:val="center"/>
            </w:pPr>
            <w:r>
              <w:rPr>
                <w:b/>
                <w:color w:val="FFFFFF"/>
              </w:rPr>
              <w:t>IPE variable</w:t>
            </w:r>
          </w:p>
        </w:tc>
        <w:tc>
          <w:tcPr>
            <w:tcW w:type="dxa" w:w="1384"/>
            <w:shd w:val="clear" w:color="auto" w:fill="1F4E79"/>
          </w:tcPr>
          <w:p>
            <w:pPr>
              <w:jc w:val="center"/>
            </w:pPr>
            <w:r>
              <w:rPr>
                <w:b/>
                <w:color w:val="FFFFFF"/>
              </w:rPr>
              <w:t>Conso prédite/an</w:t>
            </w:r>
          </w:p>
        </w:tc>
        <w:tc>
          <w:tcPr>
            <w:tcW w:type="dxa" w:w="1384"/>
            <w:shd w:val="clear" w:color="auto" w:fill="1F4E79"/>
          </w:tcPr>
          <w:p>
            <w:pPr>
              <w:jc w:val="center"/>
            </w:pPr>
            <w:r>
              <w:rPr>
                <w:b/>
                <w:color w:val="FFFFFF"/>
              </w:rPr>
              <w:t>Part fixe</w:t>
            </w:r>
          </w:p>
        </w:tc>
      </w:tr>
      <w:tr>
        <w:tc>
          <w:tcPr>
            <w:tcW w:type="dxa" w:w="1384"/>
            <w:shd w:val="clear" w:color="auto" w:fill="FFFFFF"/>
          </w:tcPr>
          <w:p>
            <w:r>
              <w:t>Électricité_Production</w:t>
            </w:r>
          </w:p>
        </w:tc>
        <w:tc>
          <w:tcPr>
            <w:tcW w:type="dxa" w:w="1384"/>
            <w:shd w:val="clear" w:color="auto" w:fill="FFFFFF"/>
          </w:tcPr>
          <w:p>
            <w:r>
              <w:t>⚡ Activité</w:t>
            </w:r>
          </w:p>
        </w:tc>
        <w:tc>
          <w:tcPr>
            <w:tcW w:type="dxa" w:w="1384"/>
            <w:shd w:val="clear" w:color="auto" w:fill="E8F5E9"/>
          </w:tcPr>
          <w:p>
            <w:r>
              <w:t>0.953</w:t>
            </w:r>
          </w:p>
        </w:tc>
        <w:tc>
          <w:tcPr>
            <w:tcW w:type="dxa" w:w="1384"/>
            <w:shd w:val="clear" w:color="auto" w:fill="E8F5E9"/>
          </w:tcPr>
          <w:p>
            <w:r>
              <w:t>0.0000</w:t>
            </w:r>
          </w:p>
        </w:tc>
        <w:tc>
          <w:tcPr>
            <w:tcW w:type="dxa" w:w="1384"/>
            <w:shd w:val="clear" w:color="auto" w:fill="FFFFFF"/>
          </w:tcPr>
          <w:p>
            <w:r>
              <w:t>705.86 kWh/Production</w:t>
            </w:r>
          </w:p>
        </w:tc>
        <w:tc>
          <w:tcPr>
            <w:tcW w:type="dxa" w:w="1384"/>
            <w:shd w:val="clear" w:color="auto" w:fill="FFFFFF"/>
          </w:tcPr>
          <w:p>
            <w:r>
              <w:t>8 495 803 kWh/an</w:t>
            </w:r>
          </w:p>
        </w:tc>
        <w:tc>
          <w:tcPr>
            <w:tcW w:type="dxa" w:w="1384"/>
            <w:shd w:val="clear" w:color="auto" w:fill="E8F5E9"/>
          </w:tcPr>
          <w:p>
            <w:r>
              <w:t>22.3 %</w:t>
            </w:r>
          </w:p>
        </w:tc>
      </w:tr>
      <w:tr>
        <w:tc>
          <w:tcPr>
            <w:tcW w:type="dxa" w:w="1384"/>
            <w:shd w:val="clear" w:color="auto" w:fill="EBF3FA"/>
          </w:tcPr>
          <w:p>
            <w:r>
              <w:t>Gaz naturel</w:t>
            </w:r>
          </w:p>
        </w:tc>
        <w:tc>
          <w:tcPr>
            <w:tcW w:type="dxa" w:w="1384"/>
            <w:shd w:val="clear" w:color="auto" w:fill="EBF3FA"/>
          </w:tcPr>
          <w:p>
            <w:r>
              <w:t>🔥 DJU</w:t>
            </w:r>
          </w:p>
        </w:tc>
        <w:tc>
          <w:tcPr>
            <w:tcW w:type="dxa" w:w="1384"/>
            <w:shd w:val="clear" w:color="auto" w:fill="E8F5E9"/>
          </w:tcPr>
          <w:p>
            <w:r>
              <w:t>0.929</w:t>
            </w:r>
          </w:p>
        </w:tc>
        <w:tc>
          <w:tcPr>
            <w:tcW w:type="dxa" w:w="1384"/>
            <w:shd w:val="clear" w:color="auto" w:fill="E8F5E9"/>
          </w:tcPr>
          <w:p>
            <w:r>
              <w:t>0.0000</w:t>
            </w:r>
          </w:p>
        </w:tc>
        <w:tc>
          <w:tcPr>
            <w:tcW w:type="dxa" w:w="1384"/>
            <w:shd w:val="clear" w:color="auto" w:fill="EBF3FA"/>
          </w:tcPr>
          <w:p>
            <w:r>
              <w:t>822.4 kWh/DJU</w:t>
            </w:r>
          </w:p>
        </w:tc>
        <w:tc>
          <w:tcPr>
            <w:tcW w:type="dxa" w:w="1384"/>
            <w:shd w:val="clear" w:color="auto" w:fill="EBF3FA"/>
          </w:tcPr>
          <w:p>
            <w:r>
              <w:t>5 504 991 kWh/an</w:t>
            </w:r>
          </w:p>
        </w:tc>
        <w:tc>
          <w:tcPr>
            <w:tcW w:type="dxa" w:w="1384"/>
            <w:shd w:val="clear" w:color="auto" w:fill="E8F5E9"/>
          </w:tcPr>
          <w:p>
            <w:r>
              <w:t>11.0 %</w:t>
            </w:r>
          </w:p>
        </w:tc>
      </w:tr>
    </w:tbl>
    <w:p/>
    <w:p>
      <w:r>
        <w:rPr>
          <w:b/>
          <w:color w:val="1F4E79"/>
          <w:sz w:val="22"/>
        </w:rPr>
        <w:t>IPE de référence par sous-compteur (UES validés — R² ≥ 0.85)</w:t>
      </w:r>
    </w:p>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1F4E79"/>
          </w:tcPr>
          <w:p>
            <w:pPr>
              <w:jc w:val="center"/>
            </w:pPr>
            <w:r>
              <w:rPr>
                <w:b/>
                <w:color w:val="FFFFFF"/>
              </w:rPr>
              <w:t>UES</w:t>
            </w:r>
          </w:p>
        </w:tc>
        <w:tc>
          <w:tcPr>
            <w:tcW w:type="dxa" w:w="2422"/>
            <w:shd w:val="clear" w:color="auto" w:fill="1F4E79"/>
          </w:tcPr>
          <w:p>
            <w:pPr>
              <w:jc w:val="center"/>
            </w:pPr>
            <w:r>
              <w:rPr>
                <w:b/>
                <w:color w:val="FFFFFF"/>
              </w:rPr>
              <w:t>Variable d'influence</w:t>
            </w:r>
          </w:p>
        </w:tc>
        <w:tc>
          <w:tcPr>
            <w:tcW w:type="dxa" w:w="2422"/>
            <w:shd w:val="clear" w:color="auto" w:fill="1F4E79"/>
          </w:tcPr>
          <w:p>
            <w:pPr>
              <w:jc w:val="center"/>
            </w:pPr>
            <w:r>
              <w:rPr>
                <w:b/>
                <w:color w:val="FFFFFF"/>
              </w:rPr>
              <w:t>R²</w:t>
            </w:r>
          </w:p>
        </w:tc>
        <w:tc>
          <w:tcPr>
            <w:tcW w:type="dxa" w:w="2422"/>
            <w:shd w:val="clear" w:color="auto" w:fill="1F4E79"/>
          </w:tcPr>
          <w:p>
            <w:pPr>
              <w:jc w:val="center"/>
            </w:pPr>
            <w:r>
              <w:rPr>
                <w:b/>
                <w:color w:val="FFFFFF"/>
              </w:rPr>
              <w:t>IPE de référence</w:t>
            </w:r>
          </w:p>
        </w:tc>
      </w:tr>
      <w:tr>
        <w:tc>
          <w:tcPr>
            <w:tcW w:type="dxa" w:w="2422"/>
            <w:shd w:val="clear" w:color="auto" w:fill="FFFFFF"/>
          </w:tcPr>
          <w:p>
            <w:r>
              <w:t>Fours / Fusion</w:t>
            </w:r>
          </w:p>
        </w:tc>
        <w:tc>
          <w:tcPr>
            <w:tcW w:type="dxa" w:w="2422"/>
            <w:shd w:val="clear" w:color="auto" w:fill="FFFFFF"/>
          </w:tcPr>
          <w:p>
            <w:r>
              <w:t>Production</w:t>
            </w:r>
          </w:p>
        </w:tc>
        <w:tc>
          <w:tcPr>
            <w:tcW w:type="dxa" w:w="2422"/>
            <w:shd w:val="clear" w:color="auto" w:fill="E8F5E9"/>
          </w:tcPr>
          <w:p>
            <w:r>
              <w:t>0.990</w:t>
            </w:r>
          </w:p>
        </w:tc>
        <w:tc>
          <w:tcPr>
            <w:tcW w:type="dxa" w:w="2422"/>
            <w:shd w:val="clear" w:color="auto" w:fill="FFFFFF"/>
          </w:tcPr>
          <w:p>
            <w:r>
              <w:t>495.313 kWh/Production</w:t>
            </w:r>
          </w:p>
        </w:tc>
      </w:tr>
      <w:tr>
        <w:tc>
          <w:tcPr>
            <w:tcW w:type="dxa" w:w="2422"/>
            <w:shd w:val="clear" w:color="auto" w:fill="EBF3FA"/>
          </w:tcPr>
          <w:p>
            <w:r>
              <w:t>Compresseurs air comprimé</w:t>
            </w:r>
          </w:p>
        </w:tc>
        <w:tc>
          <w:tcPr>
            <w:tcW w:type="dxa" w:w="2422"/>
            <w:shd w:val="clear" w:color="auto" w:fill="EBF3FA"/>
          </w:tcPr>
          <w:p>
            <w:r>
              <w:t>Production</w:t>
            </w:r>
          </w:p>
        </w:tc>
        <w:tc>
          <w:tcPr>
            <w:tcW w:type="dxa" w:w="2422"/>
            <w:shd w:val="clear" w:color="auto" w:fill="E8F5E9"/>
          </w:tcPr>
          <w:p>
            <w:r>
              <w:t>0.880</w:t>
            </w:r>
          </w:p>
        </w:tc>
        <w:tc>
          <w:tcPr>
            <w:tcW w:type="dxa" w:w="2422"/>
            <w:shd w:val="clear" w:color="auto" w:fill="EBF3FA"/>
          </w:tcPr>
          <w:p>
            <w:r>
              <w:t>74.672 kWh/Production</w:t>
            </w:r>
          </w:p>
        </w:tc>
      </w:tr>
      <w:tr>
        <w:tc>
          <w:tcPr>
            <w:tcW w:type="dxa" w:w="2422"/>
            <w:shd w:val="clear" w:color="auto" w:fill="FFFFFF"/>
          </w:tcPr>
          <w:p>
            <w:r>
              <w:t>CVC Ateliers</w:t>
            </w:r>
          </w:p>
        </w:tc>
        <w:tc>
          <w:tcPr>
            <w:tcW w:type="dxa" w:w="2422"/>
            <w:shd w:val="clear" w:color="auto" w:fill="FFFFFF"/>
          </w:tcPr>
          <w:p>
            <w:r>
              <w:t>DJU (Toulouse)</w:t>
            </w:r>
          </w:p>
        </w:tc>
        <w:tc>
          <w:tcPr>
            <w:tcW w:type="dxa" w:w="2422"/>
            <w:shd w:val="clear" w:color="auto" w:fill="E8F5E9"/>
          </w:tcPr>
          <w:p>
            <w:r>
              <w:t>0.923</w:t>
            </w:r>
          </w:p>
        </w:tc>
        <w:tc>
          <w:tcPr>
            <w:tcW w:type="dxa" w:w="2422"/>
            <w:shd w:val="clear" w:color="auto" w:fill="FFFFFF"/>
          </w:tcPr>
          <w:p>
            <w:r>
              <w:t>252.264 kWh/DJU (Toulouse)</w:t>
            </w:r>
          </w:p>
        </w:tc>
      </w:tr>
      <w:tr>
        <w:tc>
          <w:tcPr>
            <w:tcW w:type="dxa" w:w="2422"/>
            <w:shd w:val="clear" w:color="auto" w:fill="EBF3FA"/>
          </w:tcPr>
          <w:p>
            <w:r>
              <w:t>Chauffage Ateliers</w:t>
            </w:r>
          </w:p>
        </w:tc>
        <w:tc>
          <w:tcPr>
            <w:tcW w:type="dxa" w:w="2422"/>
            <w:shd w:val="clear" w:color="auto" w:fill="EBF3FA"/>
          </w:tcPr>
          <w:p>
            <w:r>
              <w:t>DJU (Toulouse)</w:t>
            </w:r>
          </w:p>
        </w:tc>
        <w:tc>
          <w:tcPr>
            <w:tcW w:type="dxa" w:w="2422"/>
            <w:shd w:val="clear" w:color="auto" w:fill="E8F5E9"/>
          </w:tcPr>
          <w:p>
            <w:r>
              <w:t>0.921</w:t>
            </w:r>
          </w:p>
        </w:tc>
        <w:tc>
          <w:tcPr>
            <w:tcW w:type="dxa" w:w="2422"/>
            <w:shd w:val="clear" w:color="auto" w:fill="EBF3FA"/>
          </w:tcPr>
          <w:p>
            <w:r>
              <w:t>766.664 kWh/DJU (Toulouse)</w:t>
            </w:r>
          </w:p>
        </w:tc>
      </w:tr>
      <w:tr>
        <w:tc>
          <w:tcPr>
            <w:tcW w:type="dxa" w:w="2422"/>
            <w:shd w:val="clear" w:color="auto" w:fill="FFFFFF"/>
          </w:tcPr>
          <w:p>
            <w:r>
              <w:t>Process Gaz</w:t>
            </w:r>
          </w:p>
        </w:tc>
        <w:tc>
          <w:tcPr>
            <w:tcW w:type="dxa" w:w="2422"/>
            <w:shd w:val="clear" w:color="auto" w:fill="FFFFFF"/>
          </w:tcPr>
          <w:p>
            <w:r>
              <w:t>Production</w:t>
            </w:r>
          </w:p>
        </w:tc>
        <w:tc>
          <w:tcPr>
            <w:tcW w:type="dxa" w:w="2422"/>
            <w:shd w:val="clear" w:color="auto" w:fill="E8F5E9"/>
          </w:tcPr>
          <w:p>
            <w:r>
              <w:t>0.942</w:t>
            </w:r>
          </w:p>
        </w:tc>
        <w:tc>
          <w:tcPr>
            <w:tcW w:type="dxa" w:w="2422"/>
            <w:shd w:val="clear" w:color="auto" w:fill="FFFFFF"/>
          </w:tcPr>
          <w:p>
            <w:r>
              <w:t>404.365 kWh/Production</w:t>
            </w:r>
          </w:p>
        </w:tc>
      </w:tr>
    </w:tbl>
    <w:p/>
    <w:p>
      <w:r>
        <w:rPr>
          <w:b/>
          <w:color w:val="1F4E79"/>
          <w:sz w:val="22"/>
        </w:rPr>
        <w:t>Indicateurs ratio (ISO 50006 §5.2 — repli sans régression)</w:t>
      </w:r>
    </w:p>
    <w:p/>
    <w:tbl>
      <w:tblPr>
        <w:tblStyle w:val="TableGrid"/>
        <w:tblW w:type="auto" w:w="0"/>
        <w:tblLook w:firstColumn="1" w:firstRow="1" w:lastColumn="0" w:lastRow="0" w:noHBand="0" w:noVBand="1" w:val="04A0"/>
      </w:tblPr>
      <w:tblGrid>
        <w:gridCol w:w="1938"/>
        <w:gridCol w:w="1938"/>
        <w:gridCol w:w="1938"/>
        <w:gridCol w:w="1938"/>
        <w:gridCol w:w="1938"/>
      </w:tblGrid>
      <w:tr>
        <w:tc>
          <w:tcPr>
            <w:tcW w:type="dxa" w:w="1938"/>
            <w:shd w:val="clear" w:color="auto" w:fill="1F4E79"/>
          </w:tcPr>
          <w:p>
            <w:pPr>
              <w:jc w:val="center"/>
            </w:pPr>
            <w:r>
              <w:rPr>
                <w:b/>
                <w:color w:val="FFFFFF"/>
              </w:rPr>
              <w:t>Process / UES</w:t>
            </w:r>
          </w:p>
        </w:tc>
        <w:tc>
          <w:tcPr>
            <w:tcW w:type="dxa" w:w="1938"/>
            <w:shd w:val="clear" w:color="auto" w:fill="1F4E79"/>
          </w:tcPr>
          <w:p>
            <w:pPr>
              <w:jc w:val="center"/>
            </w:pPr>
            <w:r>
              <w:rPr>
                <w:b/>
                <w:color w:val="FFFFFF"/>
              </w:rPr>
              <w:t>Unité</w:t>
            </w:r>
          </w:p>
        </w:tc>
        <w:tc>
          <w:tcPr>
            <w:tcW w:type="dxa" w:w="1938"/>
            <w:shd w:val="clear" w:color="auto" w:fill="1F4E79"/>
          </w:tcPr>
          <w:p>
            <w:pPr>
              <w:jc w:val="center"/>
            </w:pPr>
            <w:r>
              <w:rPr>
                <w:b/>
                <w:color w:val="FFFFFF"/>
              </w:rPr>
              <w:t>Ratio moyen</w:t>
            </w:r>
          </w:p>
        </w:tc>
        <w:tc>
          <w:tcPr>
            <w:tcW w:type="dxa" w:w="1938"/>
            <w:shd w:val="clear" w:color="auto" w:fill="1F4E79"/>
          </w:tcPr>
          <w:p>
            <w:pPr>
              <w:jc w:val="center"/>
            </w:pPr>
            <w:r>
              <w:rPr>
                <w:b/>
                <w:color w:val="FFFFFF"/>
              </w:rPr>
              <w:t>Plage</w:t>
            </w:r>
          </w:p>
        </w:tc>
        <w:tc>
          <w:tcPr>
            <w:tcW w:type="dxa" w:w="1938"/>
            <w:shd w:val="clear" w:color="auto" w:fill="1F4E79"/>
          </w:tcPr>
          <w:p>
            <w:pPr>
              <w:jc w:val="center"/>
            </w:pPr>
            <w:r>
              <w:rPr>
                <w:b/>
                <w:color w:val="FFFFFF"/>
              </w:rPr>
              <w:t>Stabilité</w:t>
            </w:r>
          </w:p>
        </w:tc>
      </w:tr>
      <w:tr>
        <w:tc>
          <w:tcPr>
            <w:tcW w:type="dxa" w:w="1938"/>
            <w:shd w:val="clear" w:color="auto" w:fill="FFFFFF"/>
          </w:tcPr>
          <w:p>
            <w:r>
              <w:t>Traitement thermique</w:t>
            </w:r>
          </w:p>
        </w:tc>
        <w:tc>
          <w:tcPr>
            <w:tcW w:type="dxa" w:w="1938"/>
            <w:shd w:val="clear" w:color="auto" w:fill="FFFFFF"/>
          </w:tcPr>
          <w:p>
            <w:r>
              <w:t>Production</w:t>
            </w:r>
          </w:p>
        </w:tc>
        <w:tc>
          <w:tcPr>
            <w:tcW w:type="dxa" w:w="1938"/>
            <w:shd w:val="clear" w:color="auto" w:fill="FFFFFF"/>
          </w:tcPr>
          <w:p>
            <w:r>
              <w:t>172.535 kWh/Production</w:t>
            </w:r>
          </w:p>
        </w:tc>
        <w:tc>
          <w:tcPr>
            <w:tcW w:type="dxa" w:w="1938"/>
            <w:shd w:val="clear" w:color="auto" w:fill="FFFFFF"/>
          </w:tcPr>
          <w:p>
            <w:r>
              <w:t>126.691 – 296.350</w:t>
            </w:r>
          </w:p>
        </w:tc>
        <w:tc>
          <w:tcPr>
            <w:tcW w:type="dxa" w:w="1938"/>
            <w:shd w:val="clear" w:color="auto" w:fill="FFFFFF"/>
          </w:tcPr>
          <w:p>
            <w:r>
              <w:t>🟡 modérément variable</w:t>
            </w:r>
          </w:p>
        </w:tc>
      </w:tr>
      <w:tr>
        <w:tc>
          <w:tcPr>
            <w:tcW w:type="dxa" w:w="1938"/>
            <w:shd w:val="clear" w:color="auto" w:fill="EBF3FA"/>
          </w:tcPr>
          <w:p>
            <w:r>
              <w:t>CVC Ateliers</w:t>
            </w:r>
          </w:p>
        </w:tc>
        <w:tc>
          <w:tcPr>
            <w:tcW w:type="dxa" w:w="1938"/>
            <w:shd w:val="clear" w:color="auto" w:fill="EBF3FA"/>
          </w:tcPr>
          <w:p>
            <w:r>
              <w:t>DJU (Toulouse)</w:t>
            </w:r>
          </w:p>
        </w:tc>
        <w:tc>
          <w:tcPr>
            <w:tcW w:type="dxa" w:w="1938"/>
            <w:shd w:val="clear" w:color="auto" w:fill="EBF3FA"/>
          </w:tcPr>
          <w:p>
            <w:r>
              <w:t>243.933 kWh/DJU (Toulouse)</w:t>
            </w:r>
          </w:p>
        </w:tc>
        <w:tc>
          <w:tcPr>
            <w:tcW w:type="dxa" w:w="1938"/>
            <w:shd w:val="clear" w:color="auto" w:fill="EBF3FA"/>
          </w:tcPr>
          <w:p>
            <w:r>
              <w:t>78.638 – 620.398</w:t>
            </w:r>
          </w:p>
        </w:tc>
        <w:tc>
          <w:tcPr>
            <w:tcW w:type="dxa" w:w="1938"/>
            <w:shd w:val="clear" w:color="auto" w:fill="EBF3FA"/>
          </w:tcPr>
          <w:p>
            <w:r>
              <w:t>🔴 instable</w:t>
            </w:r>
          </w:p>
        </w:tc>
      </w:tr>
      <w:tr>
        <w:tc>
          <w:tcPr>
            <w:tcW w:type="dxa" w:w="1938"/>
            <w:shd w:val="clear" w:color="auto" w:fill="FFFFFF"/>
          </w:tcPr>
          <w:p>
            <w:r>
              <w:t>Chauffage Ateliers</w:t>
            </w:r>
          </w:p>
        </w:tc>
        <w:tc>
          <w:tcPr>
            <w:tcW w:type="dxa" w:w="1938"/>
            <w:shd w:val="clear" w:color="auto" w:fill="FFFFFF"/>
          </w:tcPr>
          <w:p>
            <w:r>
              <w:t>DJU (Toulouse)</w:t>
            </w:r>
          </w:p>
        </w:tc>
        <w:tc>
          <w:tcPr>
            <w:tcW w:type="dxa" w:w="1938"/>
            <w:shd w:val="clear" w:color="auto" w:fill="FFFFFF"/>
          </w:tcPr>
          <w:p>
            <w:r>
              <w:t>709.394 kWh/DJU (Toulouse)</w:t>
            </w:r>
          </w:p>
        </w:tc>
        <w:tc>
          <w:tcPr>
            <w:tcW w:type="dxa" w:w="1938"/>
            <w:shd w:val="clear" w:color="auto" w:fill="FFFFFF"/>
          </w:tcPr>
          <w:p>
            <w:r>
              <w:t>52.819 – 2342.195</w:t>
            </w:r>
          </w:p>
        </w:tc>
        <w:tc>
          <w:tcPr>
            <w:tcW w:type="dxa" w:w="1938"/>
            <w:shd w:val="clear" w:color="auto" w:fill="FFFFFF"/>
          </w:tcPr>
          <w:p>
            <w:r>
              <w:t>🔴 instable</w:t>
            </w:r>
          </w:p>
        </w:tc>
      </w:tr>
    </w:tbl>
    <w:p/>
    <w:p>
      <w:r>
        <w:br w:type="page"/>
      </w:r>
    </w:p>
    <w:p>
      <w:pPr>
        <w:spacing w:before="0" w:after="80"/>
        <w:pBdr>
          <w:left w:val="single" w:sz="24" w:space="4" w:color="1F4E79"/>
        </w:pBdr>
        <w:shd w:val="clear" w:color="auto" w:fill="EBF3FA"/>
      </w:pPr>
      <w:r>
        <w:rPr>
          <w:b/>
          <w:color w:val="FFFFFF"/>
          <w:sz w:val="26"/>
          <w:shd w:val="clear" w:color="auto" w:fill="1F4E79"/>
        </w:rPr>
        <w:t xml:space="preserve">  11.  </w:t>
      </w:r>
      <w:r>
        <w:rPr>
          <w:b/>
          <w:color w:val="1F4E79"/>
          <w:sz w:val="26"/>
        </w:rPr>
        <w:t xml:space="preserve"> Usages Énergétiques Significatifs (UES)</w:t>
      </w:r>
    </w:p>
    <w:p/>
    <w:p>
      <w:r>
        <w:rPr>
          <w:sz w:val="20"/>
        </w:rPr>
        <w:t>Conformément à la NF EN 16247, 3 usage(s) énergétique(s) significatif(s) ont été identifiés (≥ 10% de la consommation totale). Couverture : ⚡ Électricité 50.3% | 🔥 Gaz 30.9%.</w:t>
      </w:r>
    </w:p>
    <w:p/>
    <w:tbl>
      <w:tblPr>
        <w:tblStyle w:val="TableGrid"/>
        <w:tblW w:type="auto" w:w="0"/>
        <w:tblLook w:firstColumn="1" w:firstRow="1" w:lastColumn="0" w:lastRow="0" w:noHBand="0" w:noVBand="1" w:val="04A0"/>
      </w:tblPr>
      <w:tblGrid>
        <w:gridCol w:w="1384"/>
        <w:gridCol w:w="1384"/>
        <w:gridCol w:w="1384"/>
        <w:gridCol w:w="1384"/>
        <w:gridCol w:w="1384"/>
        <w:gridCol w:w="1384"/>
        <w:gridCol w:w="1384"/>
      </w:tblGrid>
      <w:tr>
        <w:tc>
          <w:tcPr>
            <w:tcW w:type="dxa" w:w="1384"/>
            <w:shd w:val="clear" w:color="auto" w:fill="1F4E79"/>
          </w:tcPr>
          <w:p>
            <w:pPr>
              <w:jc w:val="center"/>
            </w:pPr>
            <w:r>
              <w:rPr>
                <w:b/>
                <w:color w:val="FFFFFF"/>
              </w:rPr>
              <w:t>Réf.</w:t>
            </w:r>
          </w:p>
        </w:tc>
        <w:tc>
          <w:tcPr>
            <w:tcW w:type="dxa" w:w="1384"/>
            <w:shd w:val="clear" w:color="auto" w:fill="1F4E79"/>
          </w:tcPr>
          <w:p>
            <w:pPr>
              <w:jc w:val="center"/>
            </w:pPr>
            <w:r>
              <w:rPr>
                <w:b/>
                <w:color w:val="FFFFFF"/>
              </w:rPr>
              <w:t>Usage</w:t>
            </w:r>
          </w:p>
        </w:tc>
        <w:tc>
          <w:tcPr>
            <w:tcW w:type="dxa" w:w="1384"/>
            <w:shd w:val="clear" w:color="auto" w:fill="1F4E79"/>
          </w:tcPr>
          <w:p>
            <w:pPr>
              <w:jc w:val="center"/>
            </w:pPr>
            <w:r>
              <w:rPr>
                <w:b/>
                <w:color w:val="FFFFFF"/>
              </w:rPr>
              <w:t>Conso (kWh/an)</w:t>
            </w:r>
          </w:p>
        </w:tc>
        <w:tc>
          <w:tcPr>
            <w:tcW w:type="dxa" w:w="1384"/>
            <w:shd w:val="clear" w:color="auto" w:fill="1F4E79"/>
          </w:tcPr>
          <w:p>
            <w:pPr>
              <w:jc w:val="center"/>
            </w:pPr>
            <w:r>
              <w:rPr>
                <w:b/>
                <w:color w:val="FFFFFF"/>
              </w:rPr>
              <w:t>Part (%)</w:t>
            </w:r>
          </w:p>
        </w:tc>
        <w:tc>
          <w:tcPr>
            <w:tcW w:type="dxa" w:w="1384"/>
            <w:shd w:val="clear" w:color="auto" w:fill="1F4E79"/>
          </w:tcPr>
          <w:p>
            <w:pPr>
              <w:jc w:val="center"/>
            </w:pPr>
            <w:r>
              <w:rPr>
                <w:b/>
                <w:color w:val="FFFFFF"/>
              </w:rPr>
              <w:t>Variable d'influence</w:t>
            </w:r>
          </w:p>
        </w:tc>
        <w:tc>
          <w:tcPr>
            <w:tcW w:type="dxa" w:w="1384"/>
            <w:shd w:val="clear" w:color="auto" w:fill="1F4E79"/>
          </w:tcPr>
          <w:p>
            <w:pPr>
              <w:jc w:val="center"/>
            </w:pPr>
            <w:r>
              <w:rPr>
                <w:b/>
                <w:color w:val="FFFFFF"/>
              </w:rPr>
              <w:t>TC (%)</w:t>
            </w:r>
          </w:p>
        </w:tc>
        <w:tc>
          <w:tcPr>
            <w:tcW w:type="dxa" w:w="1384"/>
            <w:shd w:val="clear" w:color="auto" w:fill="1F4E79"/>
          </w:tcPr>
          <w:p>
            <w:pPr>
              <w:jc w:val="center"/>
            </w:pPr>
            <w:r>
              <w:rPr>
                <w:b/>
                <w:color w:val="FFFFFF"/>
              </w:rPr>
              <w:t>IPE référence</w:t>
            </w:r>
          </w:p>
        </w:tc>
      </w:tr>
      <w:tr>
        <w:tc>
          <w:tcPr>
            <w:tcW w:type="dxa" w:w="1384"/>
            <w:shd w:val="clear" w:color="auto" w:fill="FDECEA"/>
          </w:tcPr>
          <w:p>
            <w:r>
              <w:t>UES-01</w:t>
            </w:r>
          </w:p>
        </w:tc>
        <w:tc>
          <w:tcPr>
            <w:tcW w:type="dxa" w:w="1384"/>
            <w:shd w:val="clear" w:color="auto" w:fill="FFFFFF"/>
          </w:tcPr>
          <w:p>
            <w:r>
              <w:t>Fours / Cuisson</w:t>
            </w:r>
          </w:p>
        </w:tc>
        <w:tc>
          <w:tcPr>
            <w:tcW w:type="dxa" w:w="1384"/>
            <w:shd w:val="clear" w:color="auto" w:fill="FFFFFF"/>
          </w:tcPr>
          <w:p>
            <w:r>
              <w:t>5 433 598</w:t>
            </w:r>
          </w:p>
        </w:tc>
        <w:tc>
          <w:tcPr>
            <w:tcW w:type="dxa" w:w="1384"/>
            <w:shd w:val="clear" w:color="auto" w:fill="FDECEA"/>
          </w:tcPr>
          <w:p>
            <w:r>
              <w:t>38.8%</w:t>
            </w:r>
          </w:p>
        </w:tc>
        <w:tc>
          <w:tcPr>
            <w:tcW w:type="dxa" w:w="1384"/>
            <w:shd w:val="clear" w:color="auto" w:fill="FFFFFF"/>
          </w:tcPr>
          <w:p>
            <w:r>
              <w:t>Tonnes cuites</w:t>
            </w:r>
          </w:p>
        </w:tc>
        <w:tc>
          <w:tcPr>
            <w:tcW w:type="dxa" w:w="1384"/>
            <w:shd w:val="clear" w:color="auto" w:fill="FFFFFF"/>
          </w:tcPr>
          <w:p>
            <w:r>
              <w:t>48.8%</w:t>
            </w:r>
          </w:p>
        </w:tc>
        <w:tc>
          <w:tcPr>
            <w:tcW w:type="dxa" w:w="1384"/>
            <w:shd w:val="clear" w:color="auto" w:fill="FFFFFF"/>
          </w:tcPr>
          <w:p>
            <w:r>
              <w:t>—</w:t>
            </w:r>
          </w:p>
        </w:tc>
      </w:tr>
      <w:tr>
        <w:tc>
          <w:tcPr>
            <w:tcW w:type="dxa" w:w="1384"/>
            <w:shd w:val="clear" w:color="auto" w:fill="FDECEA"/>
          </w:tcPr>
          <w:p>
            <w:r>
              <w:t>UES-02</w:t>
            </w:r>
          </w:p>
        </w:tc>
        <w:tc>
          <w:tcPr>
            <w:tcW w:type="dxa" w:w="1384"/>
            <w:shd w:val="clear" w:color="auto" w:fill="EBF3FA"/>
          </w:tcPr>
          <w:p>
            <w:r>
              <w:t>Process Gaz</w:t>
            </w:r>
          </w:p>
        </w:tc>
        <w:tc>
          <w:tcPr>
            <w:tcW w:type="dxa" w:w="1384"/>
            <w:shd w:val="clear" w:color="auto" w:fill="EBF3FA"/>
          </w:tcPr>
          <w:p>
            <w:r>
              <w:t>4 325 411</w:t>
            </w:r>
          </w:p>
        </w:tc>
        <w:tc>
          <w:tcPr>
            <w:tcW w:type="dxa" w:w="1384"/>
            <w:shd w:val="clear" w:color="auto" w:fill="FDECEA"/>
          </w:tcPr>
          <w:p>
            <w:r>
              <w:t>30.9%</w:t>
            </w:r>
          </w:p>
        </w:tc>
        <w:tc>
          <w:tcPr>
            <w:tcW w:type="dxa" w:w="1384"/>
            <w:shd w:val="clear" w:color="auto" w:fill="EBF3FA"/>
          </w:tcPr>
          <w:p>
            <w:r>
              <w:t>Production</w:t>
            </w:r>
          </w:p>
        </w:tc>
        <w:tc>
          <w:tcPr>
            <w:tcW w:type="dxa" w:w="1384"/>
            <w:shd w:val="clear" w:color="auto" w:fill="EBF3FA"/>
          </w:tcPr>
          <w:p>
            <w:r>
              <w:t>46.2%</w:t>
            </w:r>
          </w:p>
        </w:tc>
        <w:tc>
          <w:tcPr>
            <w:tcW w:type="dxa" w:w="1384"/>
            <w:shd w:val="clear" w:color="auto" w:fill="EBF3FA"/>
          </w:tcPr>
          <w:p>
            <w:r>
              <w:t>—</w:t>
            </w:r>
          </w:p>
        </w:tc>
      </w:tr>
      <w:tr>
        <w:tc>
          <w:tcPr>
            <w:tcW w:type="dxa" w:w="1384"/>
            <w:shd w:val="clear" w:color="auto" w:fill="FDECEA"/>
          </w:tcPr>
          <w:p>
            <w:r>
              <w:t>UES-03</w:t>
            </w:r>
          </w:p>
        </w:tc>
        <w:tc>
          <w:tcPr>
            <w:tcW w:type="dxa" w:w="1384"/>
            <w:shd w:val="clear" w:color="auto" w:fill="FFFFFF"/>
          </w:tcPr>
          <w:p>
            <w:r>
              <w:t>Traitement Thermique</w:t>
            </w:r>
          </w:p>
        </w:tc>
        <w:tc>
          <w:tcPr>
            <w:tcW w:type="dxa" w:w="1384"/>
            <w:shd w:val="clear" w:color="auto" w:fill="FFFFFF"/>
          </w:tcPr>
          <w:p>
            <w:r>
              <w:t>1 614 064</w:t>
            </w:r>
          </w:p>
        </w:tc>
        <w:tc>
          <w:tcPr>
            <w:tcW w:type="dxa" w:w="1384"/>
            <w:shd w:val="clear" w:color="auto" w:fill="FDECEA"/>
          </w:tcPr>
          <w:p>
            <w:r>
              <w:t>11.5%</w:t>
            </w:r>
          </w:p>
        </w:tc>
        <w:tc>
          <w:tcPr>
            <w:tcW w:type="dxa" w:w="1384"/>
            <w:shd w:val="clear" w:color="auto" w:fill="FFFFFF"/>
          </w:tcPr>
          <w:p>
            <w:r>
              <w:t>Production (t)</w:t>
            </w:r>
          </w:p>
        </w:tc>
        <w:tc>
          <w:tcPr>
            <w:tcW w:type="dxa" w:w="1384"/>
            <w:shd w:val="clear" w:color="auto" w:fill="FFFFFF"/>
          </w:tcPr>
          <w:p>
            <w:r>
              <w:t>45.9%</w:t>
            </w:r>
          </w:p>
        </w:tc>
        <w:tc>
          <w:tcPr>
            <w:tcW w:type="dxa" w:w="1384"/>
            <w:shd w:val="clear" w:color="auto" w:fill="FFFFFF"/>
          </w:tcPr>
          <w:p>
            <w:r>
              <w:t>—</w:t>
            </w:r>
          </w:p>
        </w:tc>
      </w:tr>
      <w:tr>
        <w:tc>
          <w:tcPr>
            <w:tcW w:type="dxa" w:w="1384"/>
            <w:shd w:val="clear" w:color="auto" w:fill="FFF8E1"/>
          </w:tcPr>
          <w:p>
            <w:r>
              <w:t>UES-S01</w:t>
            </w:r>
          </w:p>
        </w:tc>
        <w:tc>
          <w:tcPr>
            <w:tcW w:type="dxa" w:w="1384"/>
            <w:shd w:val="clear" w:color="auto" w:fill="EBF3FA"/>
          </w:tcPr>
          <w:p>
            <w:r>
              <w:t>Chauffage</w:t>
            </w:r>
          </w:p>
        </w:tc>
        <w:tc>
          <w:tcPr>
            <w:tcW w:type="dxa" w:w="1384"/>
            <w:shd w:val="clear" w:color="auto" w:fill="EBF3FA"/>
          </w:tcPr>
          <w:p>
            <w:r>
              <w:t>1 179 580</w:t>
            </w:r>
          </w:p>
        </w:tc>
        <w:tc>
          <w:tcPr>
            <w:tcW w:type="dxa" w:w="1384"/>
            <w:shd w:val="clear" w:color="auto" w:fill="FFF8E1"/>
          </w:tcPr>
          <w:p>
            <w:r>
              <w:t>8.4%</w:t>
            </w:r>
          </w:p>
        </w:tc>
        <w:tc>
          <w:tcPr>
            <w:tcW w:type="dxa" w:w="1384"/>
            <w:shd w:val="clear" w:color="auto" w:fill="EBF3FA"/>
          </w:tcPr>
          <w:p>
            <w:r>
              <w:t>DJU</w:t>
            </w:r>
          </w:p>
        </w:tc>
        <w:tc>
          <w:tcPr>
            <w:tcW w:type="dxa" w:w="1384"/>
            <w:shd w:val="clear" w:color="auto" w:fill="EBF3FA"/>
          </w:tcPr>
          <w:p>
            <w:r>
              <w:t>23.7%</w:t>
            </w:r>
          </w:p>
        </w:tc>
        <w:tc>
          <w:tcPr>
            <w:tcW w:type="dxa" w:w="1384"/>
            <w:shd w:val="clear" w:color="auto" w:fill="EBF3FA"/>
          </w:tcPr>
          <w:p>
            <w:r>
              <w:t>—</w:t>
            </w:r>
          </w:p>
        </w:tc>
      </w:tr>
      <w:tr>
        <w:tc>
          <w:tcPr>
            <w:tcW w:type="dxa" w:w="1384"/>
            <w:shd w:val="clear" w:color="auto" w:fill="FFF8E1"/>
          </w:tcPr>
          <w:p>
            <w:r>
              <w:t>UES-S02</w:t>
            </w:r>
          </w:p>
        </w:tc>
        <w:tc>
          <w:tcPr>
            <w:tcW w:type="dxa" w:w="1384"/>
            <w:shd w:val="clear" w:color="auto" w:fill="FFFFFF"/>
          </w:tcPr>
          <w:p>
            <w:r>
              <w:t>Compresseurs Air Comprimé</w:t>
            </w:r>
          </w:p>
        </w:tc>
        <w:tc>
          <w:tcPr>
            <w:tcW w:type="dxa" w:w="1384"/>
            <w:shd w:val="clear" w:color="auto" w:fill="FFFFFF"/>
          </w:tcPr>
          <w:p>
            <w:r>
              <w:t>828 542</w:t>
            </w:r>
          </w:p>
        </w:tc>
        <w:tc>
          <w:tcPr>
            <w:tcW w:type="dxa" w:w="1384"/>
            <w:shd w:val="clear" w:color="auto" w:fill="FFF8E1"/>
          </w:tcPr>
          <w:p>
            <w:r>
              <w:t>5.9%</w:t>
            </w:r>
          </w:p>
        </w:tc>
        <w:tc>
          <w:tcPr>
            <w:tcW w:type="dxa" w:w="1384"/>
            <w:shd w:val="clear" w:color="auto" w:fill="FFFFFF"/>
          </w:tcPr>
          <w:p>
            <w:r>
              <w:t>Production (t)</w:t>
            </w:r>
          </w:p>
        </w:tc>
        <w:tc>
          <w:tcPr>
            <w:tcW w:type="dxa" w:w="1384"/>
            <w:shd w:val="clear" w:color="auto" w:fill="FFFFFF"/>
          </w:tcPr>
          <w:p>
            <w:r>
              <w:t>47.9%</w:t>
            </w:r>
          </w:p>
        </w:tc>
        <w:tc>
          <w:tcPr>
            <w:tcW w:type="dxa" w:w="1384"/>
            <w:shd w:val="clear" w:color="auto" w:fill="FFFFFF"/>
          </w:tcPr>
          <w:p>
            <w:r>
              <w:t>—</w:t>
            </w:r>
          </w:p>
        </w:tc>
      </w:tr>
      <w:tr>
        <w:tc>
          <w:tcPr>
            <w:tcW w:type="dxa" w:w="1384"/>
            <w:shd w:val="clear" w:color="auto" w:fill="FFF8E1"/>
          </w:tcPr>
          <w:p>
            <w:r>
              <w:t>UES-S03</w:t>
            </w:r>
          </w:p>
        </w:tc>
        <w:tc>
          <w:tcPr>
            <w:tcW w:type="dxa" w:w="1384"/>
            <w:shd w:val="clear" w:color="auto" w:fill="EBF3FA"/>
          </w:tcPr>
          <w:p>
            <w:r>
              <w:t>Cvc Ateliers</w:t>
            </w:r>
          </w:p>
        </w:tc>
        <w:tc>
          <w:tcPr>
            <w:tcW w:type="dxa" w:w="1384"/>
            <w:shd w:val="clear" w:color="auto" w:fill="EBF3FA"/>
          </w:tcPr>
          <w:p>
            <w:r>
              <w:t>414 170</w:t>
            </w:r>
          </w:p>
        </w:tc>
        <w:tc>
          <w:tcPr>
            <w:tcW w:type="dxa" w:w="1384"/>
            <w:shd w:val="clear" w:color="auto" w:fill="FFF8E1"/>
          </w:tcPr>
          <w:p>
            <w:r>
              <w:t>3.0%</w:t>
            </w:r>
          </w:p>
        </w:tc>
        <w:tc>
          <w:tcPr>
            <w:tcW w:type="dxa" w:w="1384"/>
            <w:shd w:val="clear" w:color="auto" w:fill="EBF3FA"/>
          </w:tcPr>
          <w:p>
            <w:r>
              <w:t>DJU</w:t>
            </w:r>
          </w:p>
        </w:tc>
        <w:tc>
          <w:tcPr>
            <w:tcW w:type="dxa" w:w="1384"/>
            <w:shd w:val="clear" w:color="auto" w:fill="EBF3FA"/>
          </w:tcPr>
          <w:p>
            <w:r>
              <w:t>22.8%</w:t>
            </w:r>
          </w:p>
        </w:tc>
        <w:tc>
          <w:tcPr>
            <w:tcW w:type="dxa" w:w="1384"/>
            <w:shd w:val="clear" w:color="auto" w:fill="EBF3FA"/>
          </w:tcPr>
          <w:p>
            <w:r>
              <w:t>—</w:t>
            </w:r>
          </w:p>
        </w:tc>
      </w:tr>
    </w:tbl>
    <w:p/>
    <w:p>
      <w:r>
        <w:rPr>
          <w:b/>
          <w:color w:val="1F4E79"/>
          <w:sz w:val="22"/>
        </w:rPr>
        <w:t>Analyse des Usages Énergétiques Significatifs</w:t>
      </w:r>
    </w:p>
    <w:p/>
    <w:p>
      <w:pPr>
        <w:spacing w:before="120" w:after="40"/>
      </w:pPr>
      <w:r>
        <w:rPr>
          <w:b/>
          <w:color w:val="1F4E79"/>
          <w:sz w:val="20"/>
        </w:rPr>
        <w:t>UES-01 — Fours / Cuisson</w:t>
      </w:r>
    </w:p>
    <w:p>
      <w:pPr>
        <w:spacing w:after="120"/>
      </w:pPr>
      <w:r>
        <w:rPr>
          <w:sz w:val="20"/>
        </w:rPr>
        <w:t>L’usage énergétique des fours de cuisson représente 38,8 % de la consommation totale du site, soit 5 433 598 kWh par an, ce qui en fait le poste le plus énergivore de la fonderie Alumi-Test SA. Cette criticité s’explique par son rôle central dans le procédé industriel, où la maîtrise des températures et des cycles de chauffe conditionne directement la qualité des pièces produites et la continuité de l’activité. Les données disponibles suggèrent une corrélation marquée entre la consommation électrique et le volume de production, bien que des variations résiduelles puissent être attribuées à des facteurs externes, tels que les conditions climatiques influençant les pertes thermiques, ou à des paramètres internes, comme l’efficacité des isolants ou les pratiques d’exploitation. L’analyse par régression linéaire met en évidence une composante fixe non négligeable, probablement liée aux phases de préchauffage et de maintien en température, tandis que la part variable, bien que prépondérante, présente une dispersion modérée, indiquant une relative stabilité des performances pour un niveau d’activité donné. Pour optimiser ce poste, plusieurs leviers techniques et organisationnels peuvent être envisagés, notamment l’amélioration de l’isolation des fours, la récupération de chaleur fatale pour des usages annexes, ou encore l’ajustement des profils de chauffe en fonction des besoins réels du procédé. Une attention particulière pourrait également être portée à la maintenance des équipements et à la formation des opérateurs, afin de limiter les dérives de consommation liées à des réglages non optimaux ou à des pratiques non standardisées.</w:t>
      </w:r>
    </w:p>
    <w:p/>
    <w:p>
      <w:pPr>
        <w:shd w:val="clear" w:color="auto" w:fill="D6E4F0"/>
      </w:pPr>
      <w:r>
        <w:rPr>
          <w:b/>
          <w:color w:val="1F4E79"/>
          <w:sz w:val="20"/>
        </w:rPr>
        <w:t xml:space="preserve">  🔴 UES-01 — Fours / Cuisson</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P. max</w:t>
            </w:r>
          </w:p>
          <w:p>
            <w:pPr>
              <w:spacing w:before="0" w:after="40"/>
              <w:ind w:left="120"/>
            </w:pPr>
            <w:r>
              <w:rPr>
                <w:b/>
                <w:color w:val="1F4E79"/>
                <w:sz w:val="30"/>
              </w:rPr>
              <w:t>1268.7 kW</w:t>
            </w:r>
          </w:p>
        </w:tc>
        <w:tc>
          <w:tcPr>
            <w:tcW w:type="dxa" w:w="2422"/>
            <w:shd w:val="clear" w:color="auto" w:fill="EBF3FA"/>
            <w:tcBdr>
              <w:top w:val="single" w:sz="12" w:color="2E5F8A"/>
            </w:tcBdr>
          </w:tcPr>
          <w:p>
            <w:pPr>
              <w:spacing w:before="80" w:after="0"/>
              <w:ind w:left="120"/>
            </w:pPr>
            <w:r>
              <w:rPr>
                <w:color w:val="555555"/>
                <w:sz w:val="16"/>
              </w:rPr>
              <w:t>P. moy</w:t>
            </w:r>
          </w:p>
          <w:p>
            <w:pPr>
              <w:spacing w:before="0" w:after="40"/>
              <w:ind w:left="120"/>
            </w:pPr>
            <w:r>
              <w:rPr>
                <w:b/>
                <w:color w:val="2E5F8A"/>
                <w:sz w:val="30"/>
              </w:rPr>
              <w:t>618.6 kW</w:t>
            </w:r>
          </w:p>
        </w:tc>
        <w:tc>
          <w:tcPr>
            <w:tcW w:type="dxa" w:w="2422"/>
            <w:shd w:val="clear" w:color="auto" w:fill="EBF3FA"/>
            <w:tcBdr>
              <w:top w:val="single" w:sz="12" w:color="2E5F8A"/>
            </w:tcBdr>
          </w:tcPr>
          <w:p>
            <w:pPr>
              <w:spacing w:before="80" w:after="0"/>
              <w:ind w:left="120"/>
            </w:pPr>
            <w:r>
              <w:rPr>
                <w:color w:val="555555"/>
                <w:sz w:val="16"/>
              </w:rPr>
              <w:t>Taux de charge</w:t>
            </w:r>
          </w:p>
          <w:p>
            <w:pPr>
              <w:spacing w:before="0" w:after="40"/>
              <w:ind w:left="120"/>
            </w:pPr>
            <w:r>
              <w:rPr>
                <w:b/>
                <w:color w:val="2E5F8A"/>
                <w:sz w:val="30"/>
              </w:rPr>
              <w:t>48.8 %</w:t>
            </w:r>
          </w:p>
        </w:tc>
        <w:tc>
          <w:tcPr>
            <w:tcW w:type="dxa" w:w="2422"/>
            <w:shd w:val="clear" w:color="auto" w:fill="EBF3FA"/>
            <w:tcBdr>
              <w:top w:val="single" w:sz="12" w:color="C45A00"/>
            </w:tcBdr>
          </w:tcPr>
          <w:p>
            <w:pPr>
              <w:spacing w:before="80" w:after="0"/>
              <w:ind w:left="120"/>
            </w:pPr>
            <w:r>
              <w:rPr>
                <w:color w:val="555555"/>
                <w:sz w:val="16"/>
              </w:rPr>
              <w:t>Gisement talon</w:t>
            </w:r>
          </w:p>
          <w:p>
            <w:pPr>
              <w:spacing w:before="0" w:after="40"/>
              <w:ind w:left="120"/>
            </w:pPr>
            <w:r>
              <w:rPr>
                <w:b/>
                <w:color w:val="C45A00"/>
                <w:sz w:val="30"/>
              </w:rPr>
              <w:t>728 076</w:t>
            </w:r>
            <w:r>
              <w:rPr>
                <w:color w:val="555555"/>
                <w:sz w:val="16"/>
              </w:rPr>
              <w:t xml:space="preserve"> kWh/an</w:t>
            </w:r>
          </w:p>
        </w:tc>
      </w:tr>
    </w:tbl>
    <w:p>
      <w:pPr>
        <w:spacing w:after="80"/>
      </w:pPr>
    </w:p>
    <w:p>
      <w:r>
        <w:rPr>
          <w:sz w:val="18"/>
        </w:rPr>
        <w:t>Sous-compteur mesuré directement. Représente 38.8% de la consommation totale. Puissance moyenne : 618.6 kW — Pointe : 1268.7 kW — Talon : 152.7 kW. Pic de consommation en septembre, creux en août. Variable d'influence : Tonnes cuites.</w:t>
      </w:r>
    </w:p>
    <w:p>
      <w:pPr>
        <w:pStyle w:val="ListBullet"/>
      </w:pPr>
      <w:r>
        <w:rPr>
          <w:sz w:val="18"/>
        </w:rPr>
        <w:t>Mettre en place un suivi mensuel de l'IPE pour détecter les dérives</w:t>
      </w:r>
    </w:p>
    <w:p/>
    <w:p>
      <w:pPr>
        <w:shd w:val="clear" w:color="auto" w:fill="D6E4F0"/>
      </w:pPr>
      <w:r>
        <w:rPr>
          <w:b/>
          <w:color w:val="1F4E79"/>
          <w:sz w:val="20"/>
        </w:rPr>
        <w:t xml:space="preserve">  🔴 UES-02 — Process Gaz</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P. max</w:t>
            </w:r>
          </w:p>
          <w:p>
            <w:pPr>
              <w:spacing w:before="0" w:after="40"/>
              <w:ind w:left="120"/>
            </w:pPr>
            <w:r>
              <w:rPr>
                <w:b/>
                <w:color w:val="1F4E79"/>
                <w:sz w:val="30"/>
              </w:rPr>
              <w:t>1066.7 kW</w:t>
            </w:r>
          </w:p>
        </w:tc>
        <w:tc>
          <w:tcPr>
            <w:tcW w:type="dxa" w:w="2422"/>
            <w:shd w:val="clear" w:color="auto" w:fill="EBF3FA"/>
            <w:tcBdr>
              <w:top w:val="single" w:sz="12" w:color="2E5F8A"/>
            </w:tcBdr>
          </w:tcPr>
          <w:p>
            <w:pPr>
              <w:spacing w:before="80" w:after="0"/>
              <w:ind w:left="120"/>
            </w:pPr>
            <w:r>
              <w:rPr>
                <w:color w:val="555555"/>
                <w:sz w:val="16"/>
              </w:rPr>
              <w:t>P. moy</w:t>
            </w:r>
          </w:p>
          <w:p>
            <w:pPr>
              <w:spacing w:before="0" w:after="40"/>
              <w:ind w:left="120"/>
            </w:pPr>
            <w:r>
              <w:rPr>
                <w:b/>
                <w:color w:val="2E5F8A"/>
                <w:sz w:val="30"/>
              </w:rPr>
              <w:t>492.4 kW</w:t>
            </w:r>
          </w:p>
        </w:tc>
        <w:tc>
          <w:tcPr>
            <w:tcW w:type="dxa" w:w="2422"/>
            <w:shd w:val="clear" w:color="auto" w:fill="EBF3FA"/>
            <w:tcBdr>
              <w:top w:val="single" w:sz="12" w:color="2E5F8A"/>
            </w:tcBdr>
          </w:tcPr>
          <w:p>
            <w:pPr>
              <w:spacing w:before="80" w:after="0"/>
              <w:ind w:left="120"/>
            </w:pPr>
            <w:r>
              <w:rPr>
                <w:color w:val="555555"/>
                <w:sz w:val="16"/>
              </w:rPr>
              <w:t>Taux de charge</w:t>
            </w:r>
          </w:p>
          <w:p>
            <w:pPr>
              <w:spacing w:before="0" w:after="40"/>
              <w:ind w:left="120"/>
            </w:pPr>
            <w:r>
              <w:rPr>
                <w:b/>
                <w:color w:val="2E5F8A"/>
                <w:sz w:val="30"/>
              </w:rPr>
              <w:t>46.2 %</w:t>
            </w:r>
          </w:p>
        </w:tc>
        <w:tc>
          <w:tcPr>
            <w:tcW w:type="dxa" w:w="2422"/>
            <w:shd w:val="clear" w:color="auto" w:fill="EBF3FA"/>
            <w:tcBdr>
              <w:top w:val="single" w:sz="12" w:color="C45A00"/>
            </w:tcBdr>
          </w:tcPr>
          <w:p>
            <w:pPr>
              <w:spacing w:before="80" w:after="0"/>
              <w:ind w:left="120"/>
            </w:pPr>
            <w:r>
              <w:rPr>
                <w:color w:val="555555"/>
                <w:sz w:val="16"/>
              </w:rPr>
              <w:t>Gisement talon</w:t>
            </w:r>
          </w:p>
          <w:p>
            <w:pPr>
              <w:spacing w:before="0" w:after="40"/>
              <w:ind w:left="120"/>
            </w:pPr>
            <w:r>
              <w:rPr>
                <w:b/>
                <w:color w:val="C45A00"/>
                <w:sz w:val="30"/>
              </w:rPr>
              <w:t>583 260</w:t>
            </w:r>
            <w:r>
              <w:rPr>
                <w:color w:val="555555"/>
                <w:sz w:val="16"/>
              </w:rPr>
              <w:t xml:space="preserve"> kWh/an</w:t>
            </w:r>
          </w:p>
        </w:tc>
      </w:tr>
    </w:tbl>
    <w:p>
      <w:pPr>
        <w:spacing w:after="80"/>
      </w:pPr>
    </w:p>
    <w:p>
      <w:r>
        <w:rPr>
          <w:sz w:val="18"/>
        </w:rPr>
        <w:t>Sous-compteur mesuré directement. Représente 30.9% de la consommation totale. Puissance moyenne : 492.4 kW — Pointe : 1066.7 kW — Talon : 105.2 kW. Pic de consommation en juin, creux en août. Variable d'influence : Production.</w:t>
      </w:r>
    </w:p>
    <w:p>
      <w:pPr>
        <w:pStyle w:val="ListBullet"/>
      </w:pPr>
      <w:r>
        <w:rPr>
          <w:sz w:val="18"/>
        </w:rPr>
        <w:t>Mettre en place un suivi mensuel de l'IPE pour détecter les dérives</w:t>
      </w:r>
    </w:p>
    <w:p/>
    <w:p>
      <w:pPr>
        <w:shd w:val="clear" w:color="auto" w:fill="D6E4F0"/>
      </w:pPr>
      <w:r>
        <w:rPr>
          <w:b/>
          <w:color w:val="1F4E79"/>
          <w:sz w:val="20"/>
        </w:rPr>
        <w:t xml:space="preserve">  🔴 UES-03 — Traitement thermique</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P. max</w:t>
            </w:r>
          </w:p>
          <w:p>
            <w:pPr>
              <w:spacing w:before="0" w:after="40"/>
              <w:ind w:left="120"/>
            </w:pPr>
            <w:r>
              <w:rPr>
                <w:b/>
                <w:color w:val="1F4E79"/>
                <w:sz w:val="30"/>
              </w:rPr>
              <w:t>400.8 kW</w:t>
            </w:r>
          </w:p>
        </w:tc>
        <w:tc>
          <w:tcPr>
            <w:tcW w:type="dxa" w:w="2422"/>
            <w:shd w:val="clear" w:color="auto" w:fill="EBF3FA"/>
            <w:tcBdr>
              <w:top w:val="single" w:sz="12" w:color="2E5F8A"/>
            </w:tcBdr>
          </w:tcPr>
          <w:p>
            <w:pPr>
              <w:spacing w:before="80" w:after="0"/>
              <w:ind w:left="120"/>
            </w:pPr>
            <w:r>
              <w:rPr>
                <w:color w:val="555555"/>
                <w:sz w:val="16"/>
              </w:rPr>
              <w:t>P. moy</w:t>
            </w:r>
          </w:p>
          <w:p>
            <w:pPr>
              <w:spacing w:before="0" w:after="40"/>
              <w:ind w:left="120"/>
            </w:pPr>
            <w:r>
              <w:rPr>
                <w:b/>
                <w:color w:val="2E5F8A"/>
                <w:sz w:val="30"/>
              </w:rPr>
              <w:t>183.8 kW</w:t>
            </w:r>
          </w:p>
        </w:tc>
        <w:tc>
          <w:tcPr>
            <w:tcW w:type="dxa" w:w="2422"/>
            <w:shd w:val="clear" w:color="auto" w:fill="EBF3FA"/>
            <w:tcBdr>
              <w:top w:val="single" w:sz="12" w:color="2E5F8A"/>
            </w:tcBdr>
          </w:tcPr>
          <w:p>
            <w:pPr>
              <w:spacing w:before="80" w:after="0"/>
              <w:ind w:left="120"/>
            </w:pPr>
            <w:r>
              <w:rPr>
                <w:color w:val="555555"/>
                <w:sz w:val="16"/>
              </w:rPr>
              <w:t>Taux de charge</w:t>
            </w:r>
          </w:p>
          <w:p>
            <w:pPr>
              <w:spacing w:before="0" w:after="40"/>
              <w:ind w:left="120"/>
            </w:pPr>
            <w:r>
              <w:rPr>
                <w:b/>
                <w:color w:val="2E5F8A"/>
                <w:sz w:val="30"/>
              </w:rPr>
              <w:t>45.9 %</w:t>
            </w:r>
          </w:p>
        </w:tc>
        <w:tc>
          <w:tcPr>
            <w:tcW w:type="dxa" w:w="2422"/>
            <w:shd w:val="clear" w:color="auto" w:fill="EBF3FA"/>
            <w:tcBdr>
              <w:top w:val="single" w:sz="12" w:color="C45A00"/>
            </w:tcBdr>
          </w:tcPr>
          <w:p>
            <w:pPr>
              <w:spacing w:before="80" w:after="0"/>
              <w:ind w:left="120"/>
            </w:pPr>
            <w:r>
              <w:rPr>
                <w:color w:val="555555"/>
                <w:sz w:val="16"/>
              </w:rPr>
              <w:t>Gisement talon</w:t>
            </w:r>
          </w:p>
          <w:p>
            <w:pPr>
              <w:spacing w:before="0" w:after="40"/>
              <w:ind w:left="120"/>
            </w:pPr>
            <w:r>
              <w:rPr>
                <w:b/>
                <w:color w:val="C45A00"/>
                <w:sz w:val="30"/>
              </w:rPr>
              <w:t>216 700</w:t>
            </w:r>
            <w:r>
              <w:rPr>
                <w:color w:val="555555"/>
                <w:sz w:val="16"/>
              </w:rPr>
              <w:t xml:space="preserve"> kWh/an</w:t>
            </w:r>
          </w:p>
        </w:tc>
      </w:tr>
    </w:tbl>
    <w:p>
      <w:pPr>
        <w:spacing w:after="80"/>
      </w:pPr>
    </w:p>
    <w:p>
      <w:r>
        <w:rPr>
          <w:sz w:val="18"/>
        </w:rPr>
        <w:t>Sous-compteur mesuré directement. Représente 11.5% de la consommation totale. Puissance moyenne : 183.8 kW — Pointe : 400.8 kW — Talon : 48.7 kW. Pic de consommation en novembre, creux en août. Variable d'influence : Production (t).</w:t>
      </w:r>
    </w:p>
    <w:p>
      <w:pPr>
        <w:pStyle w:val="ListBullet"/>
      </w:pPr>
      <w:r>
        <w:rPr>
          <w:sz w:val="18"/>
        </w:rPr>
        <w:t>Mettre en place un suivi mensuel de l'IPE pour détecter les dérives</w:t>
      </w:r>
    </w:p>
    <w:p/>
    <w:p>
      <w:r>
        <w:br w:type="page"/>
      </w:r>
    </w:p>
    <w:p>
      <w:pPr>
        <w:spacing w:before="0" w:after="80"/>
        <w:pBdr>
          <w:left w:val="single" w:sz="24" w:space="4" w:color="1F4E79"/>
        </w:pBdr>
        <w:shd w:val="clear" w:color="auto" w:fill="EBF3FA"/>
      </w:pPr>
      <w:r>
        <w:rPr>
          <w:b/>
          <w:color w:val="FFFFFF"/>
          <w:sz w:val="26"/>
          <w:shd w:val="clear" w:color="auto" w:fill="1F4E79"/>
        </w:rPr>
        <w:t xml:space="preserve">  12.  </w:t>
      </w:r>
      <w:r>
        <w:rPr>
          <w:b/>
          <w:color w:val="1F4E79"/>
          <w:sz w:val="26"/>
        </w:rPr>
        <w:t xml:space="preserve"> Analyse de la courbe de charge</w:t>
      </w:r>
    </w:p>
    <w:p/>
    <w:p>
      <w:pPr>
        <w:shd w:val="clear" w:color="auto" w:fill="D6E4F0"/>
      </w:pPr>
      <w:r>
        <w:rPr>
          <w:b/>
          <w:color w:val="1F4E79"/>
          <w:sz w:val="22"/>
        </w:rPr>
        <w:t xml:space="preserve">  Énergie : Électricité</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Puissance de pointe</w:t>
            </w:r>
          </w:p>
          <w:p>
            <w:pPr>
              <w:spacing w:before="0" w:after="40"/>
              <w:ind w:left="120"/>
            </w:pPr>
            <w:r>
              <w:rPr>
                <w:b/>
                <w:color w:val="1F4E79"/>
                <w:sz w:val="30"/>
              </w:rPr>
              <w:t>1 820,7</w:t>
            </w:r>
            <w:r>
              <w:rPr>
                <w:color w:val="555555"/>
                <w:sz w:val="16"/>
              </w:rPr>
              <w:t xml:space="preserve"> kW</w:t>
            </w:r>
          </w:p>
        </w:tc>
        <w:tc>
          <w:tcPr>
            <w:tcW w:type="dxa" w:w="2422"/>
            <w:shd w:val="clear" w:color="auto" w:fill="EBF3FA"/>
            <w:tcBdr>
              <w:top w:val="single" w:sz="12" w:color="2E5F8A"/>
            </w:tcBdr>
          </w:tcPr>
          <w:p>
            <w:pPr>
              <w:spacing w:before="80" w:after="0"/>
              <w:ind w:left="120"/>
            </w:pPr>
            <w:r>
              <w:rPr>
                <w:color w:val="555555"/>
                <w:sz w:val="16"/>
              </w:rPr>
              <w:t>Puissance moyenne</w:t>
            </w:r>
          </w:p>
          <w:p>
            <w:pPr>
              <w:spacing w:before="0" w:after="40"/>
              <w:ind w:left="120"/>
            </w:pPr>
            <w:r>
              <w:rPr>
                <w:b/>
                <w:color w:val="2E5F8A"/>
                <w:sz w:val="30"/>
              </w:rPr>
              <w:t>938,0</w:t>
            </w:r>
            <w:r>
              <w:rPr>
                <w:color w:val="555555"/>
                <w:sz w:val="16"/>
              </w:rPr>
              <w:t xml:space="preserve"> kW</w:t>
            </w:r>
          </w:p>
        </w:tc>
        <w:tc>
          <w:tcPr>
            <w:tcW w:type="dxa" w:w="2422"/>
            <w:shd w:val="clear" w:color="auto" w:fill="EBF3FA"/>
            <w:tcBdr>
              <w:top w:val="single" w:sz="12" w:color="C45A00"/>
            </w:tcBdr>
          </w:tcPr>
          <w:p>
            <w:pPr>
              <w:spacing w:before="80" w:after="0"/>
              <w:ind w:left="120"/>
            </w:pPr>
            <w:r>
              <w:rPr>
                <w:color w:val="555555"/>
                <w:sz w:val="16"/>
              </w:rPr>
              <w:t>Talon de consommation</w:t>
            </w:r>
          </w:p>
          <w:p>
            <w:pPr>
              <w:spacing w:before="0" w:after="40"/>
              <w:ind w:left="120"/>
            </w:pPr>
            <w:r>
              <w:rPr>
                <w:b/>
                <w:color w:val="C45A00"/>
                <w:sz w:val="30"/>
              </w:rPr>
              <w:t>301,1</w:t>
            </w:r>
            <w:r>
              <w:rPr>
                <w:color w:val="555555"/>
                <w:sz w:val="16"/>
              </w:rPr>
              <w:t xml:space="preserve"> kW</w:t>
            </w:r>
          </w:p>
        </w:tc>
        <w:tc>
          <w:tcPr>
            <w:tcW w:type="dxa" w:w="2422"/>
            <w:shd w:val="clear" w:color="auto" w:fill="EBF3FA"/>
            <w:tcBdr>
              <w:top w:val="single" w:sz="12" w:color="2E5F8A"/>
            </w:tcBdr>
          </w:tcPr>
          <w:p>
            <w:pPr>
              <w:spacing w:before="80" w:after="0"/>
              <w:ind w:left="120"/>
            </w:pPr>
            <w:r>
              <w:rPr>
                <w:color w:val="555555"/>
                <w:sz w:val="16"/>
              </w:rPr>
              <w:t>Taux de charge</w:t>
            </w:r>
          </w:p>
          <w:p>
            <w:pPr>
              <w:spacing w:before="0" w:after="40"/>
              <w:ind w:left="120"/>
            </w:pPr>
            <w:r>
              <w:rPr>
                <w:b/>
                <w:color w:val="2E5F8A"/>
                <w:sz w:val="30"/>
              </w:rPr>
              <w:t>51,5</w:t>
            </w:r>
            <w:r>
              <w:rPr>
                <w:color w:val="555555"/>
                <w:sz w:val="16"/>
              </w:rPr>
              <w:t xml:space="preserve"> %</w:t>
            </w:r>
          </w:p>
        </w:tc>
      </w:tr>
    </w:tbl>
    <w:p>
      <w:pPr>
        <w:spacing w:after="80"/>
      </w:pPr>
    </w:p>
    <w:p>
      <w:pPr>
        <w:shd w:val="clear" w:color="auto" w:fill="FFF3E0"/>
      </w:pPr>
      <w:r>
        <w:rPr>
          <w:color w:val="C45A00"/>
          <w:sz w:val="20"/>
        </w:rPr>
        <w:t xml:space="preserve">  💶 Gisement talon estimé : </w:t>
      </w:r>
      <w:r>
        <w:rPr>
          <w:b/>
          <w:color w:val="C45A00"/>
          <w:sz w:val="22"/>
        </w:rPr>
        <w:t>2 637 636 kWh/an</w:t>
      </w:r>
      <w:r>
        <w:rPr>
          <w:color w:val="C45A00"/>
          <w:sz w:val="20"/>
        </w:rPr>
        <w:t xml:space="preserve">  soit  395 645 €/an</w:t>
      </w:r>
    </w:p>
    <w:p>
      <w:r>
        <w:rPr>
          <w:b/>
          <w:color w:val="555555"/>
          <w:sz w:val="18"/>
        </w:rPr>
        <w:t>Courbe de charge ordonnée (monotone)</w:t>
      </w:r>
    </w:p>
    <w:p>
      <w:pPr>
        <w:jc w:val="center"/>
      </w:pPr>
      <w:r>
        <w:drawing>
          <wp:inline xmlns:a="http://schemas.openxmlformats.org/drawingml/2006/main" xmlns:pic="http://schemas.openxmlformats.org/drawingml/2006/picture">
            <wp:extent cx="5040000" cy="1986694"/>
            <wp:docPr id="2" name="Picture 2"/>
            <wp:cNvGraphicFramePr>
              <a:graphicFrameLocks noChangeAspect="1"/>
            </wp:cNvGraphicFramePr>
            <a:graphic>
              <a:graphicData uri="http://schemas.openxmlformats.org/drawingml/2006/picture">
                <pic:pic>
                  <pic:nvPicPr>
                    <pic:cNvPr id="0" name="tmp7fun_aoq.png"/>
                    <pic:cNvPicPr/>
                  </pic:nvPicPr>
                  <pic:blipFill>
                    <a:blip r:embed="rId10"/>
                    <a:stretch>
                      <a:fillRect/>
                    </a:stretch>
                  </pic:blipFill>
                  <pic:spPr>
                    <a:xfrm>
                      <a:off x="0" y="0"/>
                      <a:ext cx="5040000" cy="1986694"/>
                    </a:xfrm>
                    <a:prstGeom prst="rect"/>
                  </pic:spPr>
                </pic:pic>
              </a:graphicData>
            </a:graphic>
          </wp:inline>
        </w:drawing>
      </w:r>
    </w:p>
    <w:p/>
    <w:p>
      <w:r>
        <w:br w:type="page"/>
      </w:r>
    </w:p>
    <w:p>
      <w:pPr>
        <w:spacing w:before="0" w:after="80"/>
        <w:pBdr>
          <w:left w:val="single" w:sz="24" w:space="4" w:color="1F4E79"/>
        </w:pBdr>
        <w:shd w:val="clear" w:color="auto" w:fill="EBF3FA"/>
      </w:pPr>
      <w:r>
        <w:rPr>
          <w:b/>
          <w:color w:val="FFFFFF"/>
          <w:sz w:val="26"/>
          <w:shd w:val="clear" w:color="auto" w:fill="1F4E79"/>
        </w:rPr>
        <w:t xml:space="preserve">  13.  </w:t>
      </w:r>
      <w:r>
        <w:rPr>
          <w:b/>
          <w:color w:val="1F4E79"/>
          <w:sz w:val="26"/>
        </w:rPr>
        <w:t xml:space="preserve"> Synthèse des gains par thématique</w:t>
      </w:r>
    </w:p>
    <w:p/>
    <w:tbl>
      <w:tblPr>
        <w:tblStyle w:val="TableGrid"/>
        <w:tblW w:type="auto" w:w="0"/>
        <w:tblLook w:firstColumn="1" w:firstRow="1" w:lastColumn="0" w:lastRow="0" w:noHBand="0" w:noVBand="1" w:val="04A0"/>
      </w:tblPr>
      <w:tblGrid>
        <w:gridCol w:w="1938"/>
        <w:gridCol w:w="1938"/>
        <w:gridCol w:w="1938"/>
        <w:gridCol w:w="1938"/>
        <w:gridCol w:w="1938"/>
      </w:tblGrid>
      <w:tr>
        <w:tc>
          <w:tcPr>
            <w:tcW w:type="dxa" w:w="1938"/>
            <w:shd w:val="clear" w:color="auto" w:fill="1F4E79"/>
          </w:tcPr>
          <w:p>
            <w:r>
              <w:rPr>
                <w:b/>
                <w:color w:val="FFFFFF"/>
                <w:sz w:val="16"/>
              </w:rPr>
              <w:t>Thématique</w:t>
            </w:r>
          </w:p>
        </w:tc>
        <w:tc>
          <w:tcPr>
            <w:tcW w:type="dxa" w:w="1938"/>
            <w:shd w:val="clear" w:color="auto" w:fill="1F4E79"/>
          </w:tcPr>
          <w:p>
            <w:r>
              <w:rPr>
                <w:b/>
                <w:color w:val="FFFFFF"/>
                <w:sz w:val="16"/>
              </w:rPr>
              <w:t>Actions</w:t>
            </w:r>
          </w:p>
        </w:tc>
        <w:tc>
          <w:tcPr>
            <w:tcW w:type="dxa" w:w="1938"/>
            <w:shd w:val="clear" w:color="auto" w:fill="1F4E79"/>
          </w:tcPr>
          <w:p>
            <w:r>
              <w:rPr>
                <w:b/>
                <w:color w:val="FFFFFF"/>
                <w:sz w:val="16"/>
              </w:rPr>
              <w:t>kWh/an</w:t>
            </w:r>
          </w:p>
        </w:tc>
        <w:tc>
          <w:tcPr>
            <w:tcW w:type="dxa" w:w="1938"/>
            <w:shd w:val="clear" w:color="auto" w:fill="1F4E79"/>
          </w:tcPr>
          <w:p>
            <w:r>
              <w:rPr>
                <w:b/>
                <w:color w:val="FFFFFF"/>
                <w:sz w:val="16"/>
              </w:rPr>
              <w:t>€/an</w:t>
            </w:r>
          </w:p>
        </w:tc>
        <w:tc>
          <w:tcPr>
            <w:tcW w:type="dxa" w:w="1938"/>
            <w:shd w:val="clear" w:color="auto" w:fill="1F4E79"/>
          </w:tcPr>
          <w:p>
            <w:r>
              <w:rPr>
                <w:b/>
                <w:color w:val="FFFFFF"/>
                <w:sz w:val="16"/>
              </w:rPr>
              <w:t>ROI moy (ans)</w:t>
            </w:r>
          </w:p>
        </w:tc>
      </w:tr>
      <w:tr>
        <w:tc>
          <w:tcPr>
            <w:tcW w:type="dxa" w:w="1938"/>
          </w:tcPr>
          <w:p>
            <w:r>
              <w:rPr>
                <w:sz w:val="16"/>
              </w:rPr>
              <w:t>Pilotage</w:t>
            </w:r>
          </w:p>
        </w:tc>
        <w:tc>
          <w:tcPr>
            <w:tcW w:type="dxa" w:w="1938"/>
          </w:tcPr>
          <w:p>
            <w:r>
              <w:rPr>
                <w:sz w:val="16"/>
              </w:rPr>
              <w:t>1</w:t>
            </w:r>
          </w:p>
        </w:tc>
        <w:tc>
          <w:tcPr>
            <w:tcW w:type="dxa" w:w="1938"/>
          </w:tcPr>
          <w:p>
            <w:r>
              <w:rPr>
                <w:sz w:val="16"/>
              </w:rPr>
              <w:t>570 000</w:t>
            </w:r>
          </w:p>
        </w:tc>
        <w:tc>
          <w:tcPr>
            <w:tcW w:type="dxa" w:w="1938"/>
          </w:tcPr>
          <w:p>
            <w:r>
              <w:rPr>
                <w:sz w:val="16"/>
              </w:rPr>
              <w:t>49 019</w:t>
            </w:r>
          </w:p>
        </w:tc>
        <w:tc>
          <w:tcPr>
            <w:tcW w:type="dxa" w:w="1938"/>
          </w:tcPr>
          <w:p>
            <w:r>
              <w:rPr>
                <w:sz w:val="16"/>
              </w:rPr>
              <w:t>12.2</w:t>
            </w:r>
          </w:p>
        </w:tc>
      </w:tr>
      <w:tr>
        <w:tc>
          <w:tcPr>
            <w:tcW w:type="dxa" w:w="1938"/>
          </w:tcPr>
          <w:p>
            <w:r>
              <w:rPr>
                <w:sz w:val="16"/>
              </w:rPr>
              <w:t>Efficacité</w:t>
            </w:r>
          </w:p>
        </w:tc>
        <w:tc>
          <w:tcPr>
            <w:tcW w:type="dxa" w:w="1938"/>
          </w:tcPr>
          <w:p>
            <w:r>
              <w:rPr>
                <w:sz w:val="16"/>
              </w:rPr>
              <w:t>7</w:t>
            </w:r>
          </w:p>
        </w:tc>
        <w:tc>
          <w:tcPr>
            <w:tcW w:type="dxa" w:w="1938"/>
          </w:tcPr>
          <w:p>
            <w:r>
              <w:rPr>
                <w:sz w:val="16"/>
              </w:rPr>
              <w:t>2 236 000</w:t>
            </w:r>
          </w:p>
        </w:tc>
        <w:tc>
          <w:tcPr>
            <w:tcW w:type="dxa" w:w="1938"/>
          </w:tcPr>
          <w:p>
            <w:r>
              <w:rPr>
                <w:sz w:val="16"/>
              </w:rPr>
              <w:t>149 792</w:t>
            </w:r>
          </w:p>
        </w:tc>
        <w:tc>
          <w:tcPr>
            <w:tcW w:type="dxa" w:w="1938"/>
          </w:tcPr>
          <w:p>
            <w:r>
              <w:rPr>
                <w:sz w:val="16"/>
              </w:rPr>
              <w:t>8.0</w:t>
            </w:r>
          </w:p>
        </w:tc>
      </w:tr>
      <w:tr>
        <w:tc>
          <w:tcPr>
            <w:tcW w:type="dxa" w:w="1938"/>
            <w:shd w:val="clear" w:color="auto" w:fill="F0F0F0"/>
          </w:tcPr>
          <w:p>
            <w:r>
              <w:rPr>
                <w:b/>
                <w:sz w:val="16"/>
              </w:rPr>
              <w:t>TOTAL</w:t>
            </w:r>
          </w:p>
        </w:tc>
        <w:tc>
          <w:tcPr>
            <w:tcW w:type="dxa" w:w="1938"/>
            <w:shd w:val="clear" w:color="auto" w:fill="F0F0F0"/>
          </w:tcPr>
          <w:p>
            <w:r>
              <w:rPr>
                <w:b/>
                <w:sz w:val="16"/>
              </w:rPr>
              <w:t>8</w:t>
            </w:r>
          </w:p>
        </w:tc>
        <w:tc>
          <w:tcPr>
            <w:tcW w:type="dxa" w:w="1938"/>
            <w:shd w:val="clear" w:color="auto" w:fill="F0F0F0"/>
          </w:tcPr>
          <w:p>
            <w:r>
              <w:rPr>
                <w:b/>
                <w:sz w:val="16"/>
              </w:rPr>
              <w:t>2 806 000</w:t>
            </w:r>
          </w:p>
        </w:tc>
        <w:tc>
          <w:tcPr>
            <w:tcW w:type="dxa" w:w="1938"/>
            <w:shd w:val="clear" w:color="auto" w:fill="F0F0F0"/>
          </w:tcPr>
          <w:p>
            <w:r>
              <w:rPr>
                <w:b/>
                <w:sz w:val="16"/>
              </w:rPr>
              <w:t>198 811</w:t>
            </w:r>
          </w:p>
        </w:tc>
        <w:tc>
          <w:tcPr>
            <w:tcW w:type="dxa" w:w="1938"/>
            <w:shd w:val="clear" w:color="auto" w:fill="F0F0F0"/>
          </w:tcPr>
          <w:p>
            <w:r>
              <w:rPr>
                <w:b/>
                <w:sz w:val="16"/>
              </w:rPr>
              <w:t>—</w:t>
            </w:r>
          </w:p>
        </w:tc>
      </w:tr>
    </w:tbl>
    <w:p/>
    <w:p>
      <w:pPr>
        <w:spacing w:before="0" w:after="80"/>
        <w:pBdr>
          <w:left w:val="single" w:sz="24" w:space="4" w:color="1F4E79"/>
        </w:pBdr>
        <w:shd w:val="clear" w:color="auto" w:fill="EBF3FA"/>
      </w:pPr>
      <w:r>
        <w:rPr>
          <w:b/>
          <w:color w:val="FFFFFF"/>
          <w:sz w:val="26"/>
          <w:shd w:val="clear" w:color="auto" w:fill="1F4E79"/>
        </w:rPr>
        <w:t xml:space="preserve">  14.  </w:t>
      </w:r>
      <w:r>
        <w:rPr>
          <w:b/>
          <w:color w:val="1F4E79"/>
          <w:sz w:val="26"/>
        </w:rPr>
        <w:t xml:space="preserve"> Plan d'actions</w:t>
      </w:r>
    </w:p>
    <w:p/>
    <w:p>
      <w:r>
        <w:rPr>
          <w:b/>
          <w:color w:val="1F4E79"/>
          <w:sz w:val="22"/>
        </w:rPr>
        <w:t>Méthodologie de hiérarchisation</w:t>
      </w:r>
    </w:p>
    <w:p>
      <w:r>
        <w:t>Chaque opportunité identifiée est hiérarchisée selon deux critères complémentaires, conformément à l'esprit des normes NF EN 16247-1 et NF EN 16247-3 : son Retour Sur Investissement (RSI) — investissement net rapporté aux économies annuelles générées — et sa facilité de mise en œuvre. Une action au RSI plus court est mécaniquement jugée prioritaire.</w:t>
      </w:r>
    </w:p>
    <w:p>
      <w:r>
        <w:t>Le plan d'actions distingue quatre paliers de RSI (moins d'1 an, 1 à 4 ans, 4 à 10 ans, plus de 10 ans), ce qui permet une mise en œuvre progressive et réaliste : les actions à retour rapide sont engagées en premier, les économies qu'elles génèrent contribuant à financer les investissements plus structurants qui suivent.</w:t>
      </w:r>
    </w:p>
    <w:p>
      <w:r>
        <w:t>Chaque action est en outre qualifiée selon sa nature, au sens de la NF EN 16247-3 — comportementale (sensibilisation, formation), technique (modification d'équipement, intégration thermique, adaptation des réglages) ou organisationnelle (conduite des installations, structuration d'un management de l'énergie) — et fait l'objet d'une fiche dédiée détaillant sa description technique, son évaluation économique et les hypothèses de calcul retenues.</w:t>
      </w:r>
    </w:p>
    <w:p/>
    <w:tbl>
      <w:tblPr>
        <w:tblStyle w:val="TableGrid"/>
        <w:tblW w:type="auto" w:w="0"/>
        <w:tblLook w:firstColumn="1" w:firstRow="1" w:lastColumn="0" w:lastRow="0" w:noHBand="0" w:noVBand="1" w:val="04A0"/>
      </w:tblPr>
      <w:tblGrid>
        <w:gridCol w:w="1938"/>
        <w:gridCol w:w="1938"/>
        <w:gridCol w:w="1938"/>
        <w:gridCol w:w="1938"/>
        <w:gridCol w:w="1938"/>
      </w:tblGrid>
      <w:tr>
        <w:tc>
          <w:tcPr>
            <w:tcW w:type="dxa" w:w="1938"/>
            <w:shd w:val="clear" w:color="auto" w:fill="EBF3FA"/>
            <w:tcBdr>
              <w:top w:val="single" w:sz="12" w:color="1F4E79"/>
            </w:tcBdr>
          </w:tcPr>
          <w:p>
            <w:pPr>
              <w:spacing w:before="80" w:after="0"/>
              <w:ind w:left="120"/>
            </w:pPr>
            <w:r>
              <w:rPr>
                <w:color w:val="555555"/>
                <w:sz w:val="16"/>
              </w:rPr>
              <w:t>Nombre d'actions</w:t>
            </w:r>
          </w:p>
          <w:p>
            <w:pPr>
              <w:spacing w:before="0" w:after="40"/>
              <w:ind w:left="120"/>
            </w:pPr>
            <w:r>
              <w:rPr>
                <w:b/>
                <w:color w:val="1F4E79"/>
                <w:sz w:val="30"/>
              </w:rPr>
              <w:t>8</w:t>
            </w:r>
          </w:p>
        </w:tc>
        <w:tc>
          <w:tcPr>
            <w:tcW w:type="dxa" w:w="1938"/>
            <w:shd w:val="clear" w:color="auto" w:fill="EBF3FA"/>
            <w:tcBdr>
              <w:top w:val="single" w:sz="12" w:color="1A7A45"/>
            </w:tcBdr>
          </w:tcPr>
          <w:p>
            <w:pPr>
              <w:spacing w:before="80" w:after="0"/>
              <w:ind w:left="120"/>
            </w:pPr>
            <w:r>
              <w:rPr>
                <w:color w:val="555555"/>
                <w:sz w:val="16"/>
              </w:rPr>
              <w:t>Économies totales</w:t>
            </w:r>
          </w:p>
          <w:p>
            <w:pPr>
              <w:spacing w:before="0" w:after="40"/>
              <w:ind w:left="120"/>
            </w:pPr>
            <w:r>
              <w:rPr>
                <w:b/>
                <w:color w:val="1A7A45"/>
                <w:sz w:val="30"/>
              </w:rPr>
              <w:t>2 806 000</w:t>
            </w:r>
            <w:r>
              <w:rPr>
                <w:color w:val="555555"/>
                <w:sz w:val="16"/>
              </w:rPr>
              <w:t xml:space="preserve"> kWh/an</w:t>
            </w:r>
          </w:p>
        </w:tc>
        <w:tc>
          <w:tcPr>
            <w:tcW w:type="dxa" w:w="1938"/>
            <w:shd w:val="clear" w:color="auto" w:fill="EBF3FA"/>
            <w:tcBdr>
              <w:top w:val="single" w:sz="12" w:color="1A7A45"/>
            </w:tcBdr>
          </w:tcPr>
          <w:p>
            <w:pPr>
              <w:spacing w:before="80" w:after="0"/>
              <w:ind w:left="120"/>
            </w:pPr>
            <w:r>
              <w:rPr>
                <w:color w:val="555555"/>
                <w:sz w:val="16"/>
              </w:rPr>
              <w:t>Gain financier</w:t>
            </w:r>
          </w:p>
          <w:p>
            <w:pPr>
              <w:spacing w:before="0" w:after="40"/>
              <w:ind w:left="120"/>
            </w:pPr>
            <w:r>
              <w:rPr>
                <w:b/>
                <w:color w:val="1A7A45"/>
                <w:sz w:val="30"/>
              </w:rPr>
              <w:t>198 811</w:t>
            </w:r>
            <w:r>
              <w:rPr>
                <w:color w:val="555555"/>
                <w:sz w:val="16"/>
              </w:rPr>
              <w:t xml:space="preserve"> €/an</w:t>
            </w:r>
          </w:p>
        </w:tc>
        <w:tc>
          <w:tcPr>
            <w:tcW w:type="dxa" w:w="1938"/>
            <w:shd w:val="clear" w:color="auto" w:fill="EBF3FA"/>
            <w:tcBdr>
              <w:top w:val="single" w:sz="12" w:color="C45A00"/>
            </w:tcBdr>
          </w:tcPr>
          <w:p>
            <w:pPr>
              <w:spacing w:before="80" w:after="0"/>
              <w:ind w:left="120"/>
            </w:pPr>
            <w:r>
              <w:rPr>
                <w:color w:val="555555"/>
                <w:sz w:val="16"/>
              </w:rPr>
              <w:t>Investissement</w:t>
            </w:r>
          </w:p>
          <w:p>
            <w:pPr>
              <w:spacing w:before="0" w:after="40"/>
              <w:ind w:left="120"/>
            </w:pPr>
            <w:r>
              <w:rPr>
                <w:b/>
                <w:color w:val="C45A00"/>
                <w:sz w:val="30"/>
              </w:rPr>
              <w:t>1 679 500</w:t>
            </w:r>
            <w:r>
              <w:rPr>
                <w:color w:val="555555"/>
                <w:sz w:val="16"/>
              </w:rPr>
              <w:t xml:space="preserve"> €</w:t>
            </w:r>
          </w:p>
        </w:tc>
        <w:tc>
          <w:tcPr>
            <w:tcW w:type="dxa" w:w="1938"/>
            <w:shd w:val="clear" w:color="auto" w:fill="EBF3FA"/>
            <w:tcBdr>
              <w:top w:val="single" w:sz="12" w:color="1A7A45"/>
            </w:tcBdr>
          </w:tcPr>
          <w:p>
            <w:pPr>
              <w:spacing w:before="80" w:after="0"/>
              <w:ind w:left="120"/>
            </w:pPr>
            <w:r>
              <w:rPr>
                <w:color w:val="555555"/>
                <w:sz w:val="16"/>
              </w:rPr>
              <w:t>CO₂ évité</w:t>
            </w:r>
          </w:p>
          <w:p>
            <w:pPr>
              <w:spacing w:before="0" w:after="40"/>
              <w:ind w:left="120"/>
            </w:pPr>
            <w:r>
              <w:rPr>
                <w:b/>
                <w:color w:val="1A7A45"/>
                <w:sz w:val="30"/>
              </w:rPr>
              <w:t>433 135</w:t>
            </w:r>
            <w:r>
              <w:rPr>
                <w:color w:val="555555"/>
                <w:sz w:val="16"/>
              </w:rPr>
              <w:t xml:space="preserve"> kg/an</w:t>
            </w:r>
          </w:p>
        </w:tc>
      </w:tr>
    </w:tbl>
    <w:p>
      <w:pPr>
        <w:spacing w:after="80"/>
      </w:pPr>
    </w:p>
    <w:p>
      <w:pPr>
        <w:spacing w:after="160"/>
      </w:pPr>
      <w:r>
        <w:rPr>
          <w:color w:val="555555"/>
          <w:sz w:val="20"/>
        </w:rPr>
        <w:t xml:space="preserve">ROI global estimé : </w:t>
      </w:r>
      <w:r>
        <w:rPr>
          <w:b/>
          <w:color w:val="1F4E79"/>
          <w:sz w:val="26"/>
        </w:rPr>
        <w:t>8,4 ans</w:t>
      </w:r>
      <w:r>
        <w:rPr>
          <w:color w:val="1A7A45"/>
          <w:sz w:val="20"/>
        </w:rPr>
        <w:t xml:space="preserve">   |   Réduction conso : 20,0 %</w:t>
      </w:r>
    </w:p>
    <w:tbl>
      <w:tblPr>
        <w:tblStyle w:val="TableGrid"/>
        <w:tblW w:type="auto" w:w="0"/>
        <w:tblLook w:firstColumn="1" w:firstRow="1" w:lastColumn="0" w:lastRow="0" w:noHBand="0" w:noVBand="1" w:val="04A0"/>
        <w:tblW w:w="9072" w:type="dxa"/>
        <w:tblLayout w:type="fixed"/>
      </w:tblPr>
      <w:tblGrid>
        <w:gridCol w:w="1077"/>
        <w:gridCol w:w="1077"/>
        <w:gridCol w:w="1077"/>
        <w:gridCol w:w="1077"/>
        <w:gridCol w:w="1077"/>
        <w:gridCol w:w="1077"/>
        <w:gridCol w:w="1077"/>
        <w:gridCol w:w="1077"/>
        <w:gridCol w:w="1077"/>
      </w:tblGrid>
      <w:tr>
        <w:tc>
          <w:tcPr>
            <w:tcW w:type="dxa" w:w="283"/>
            <w:shd w:val="clear" w:color="auto" w:fill="1F4E79"/>
          </w:tcPr>
          <w:p>
            <w:pPr>
              <w:jc w:val="center"/>
            </w:pPr>
            <w:r>
              <w:rPr>
                <w:b/>
                <w:color w:val="FFFFFF"/>
              </w:rPr>
            </w:r>
          </w:p>
        </w:tc>
        <w:tc>
          <w:tcPr>
            <w:tcW w:type="dxa" w:w="2154"/>
            <w:shd w:val="clear" w:color="auto" w:fill="1F4E79"/>
          </w:tcPr>
          <w:p>
            <w:pPr>
              <w:jc w:val="center"/>
            </w:pPr>
            <w:r>
              <w:rPr>
                <w:b/>
                <w:color w:val="FFFFFF"/>
              </w:rPr>
              <w:t>Action</w:t>
            </w:r>
          </w:p>
        </w:tc>
        <w:tc>
          <w:tcPr>
            <w:tcW w:type="dxa" w:w="850"/>
            <w:shd w:val="clear" w:color="auto" w:fill="1F4E79"/>
          </w:tcPr>
          <w:p>
            <w:pPr>
              <w:jc w:val="center"/>
            </w:pPr>
            <w:r>
              <w:rPr>
                <w:b/>
                <w:color w:val="FFFFFF"/>
              </w:rPr>
              <w:t>Type</w:t>
            </w:r>
          </w:p>
        </w:tc>
        <w:tc>
          <w:tcPr>
            <w:tcW w:type="dxa" w:w="1020"/>
            <w:shd w:val="clear" w:color="auto" w:fill="1F4E79"/>
          </w:tcPr>
          <w:p>
            <w:pPr>
              <w:jc w:val="center"/>
            </w:pPr>
            <w:r>
              <w:rPr>
                <w:b/>
                <w:color w:val="FFFFFF"/>
              </w:rPr>
              <w:t>Poste</w:t>
            </w:r>
          </w:p>
        </w:tc>
        <w:tc>
          <w:tcPr>
            <w:tcW w:type="dxa" w:w="907"/>
            <w:shd w:val="clear" w:color="auto" w:fill="1F4E79"/>
          </w:tcPr>
          <w:p>
            <w:pPr>
              <w:jc w:val="center"/>
            </w:pPr>
            <w:r>
              <w:rPr>
                <w:b/>
                <w:color w:val="FFFFFF"/>
              </w:rPr>
              <w:t>kWh/an</w:t>
            </w:r>
          </w:p>
        </w:tc>
        <w:tc>
          <w:tcPr>
            <w:tcW w:type="dxa" w:w="794"/>
            <w:shd w:val="clear" w:color="auto" w:fill="1F4E79"/>
          </w:tcPr>
          <w:p>
            <w:pPr>
              <w:jc w:val="center"/>
            </w:pPr>
            <w:r>
              <w:rPr>
                <w:b/>
                <w:color w:val="FFFFFF"/>
              </w:rPr>
              <w:t>€/an</w:t>
            </w:r>
          </w:p>
        </w:tc>
        <w:tc>
          <w:tcPr>
            <w:tcW w:type="dxa" w:w="680"/>
            <w:shd w:val="clear" w:color="auto" w:fill="1F4E79"/>
          </w:tcPr>
          <w:p>
            <w:pPr>
              <w:jc w:val="center"/>
            </w:pPr>
            <w:r>
              <w:rPr>
                <w:b/>
                <w:color w:val="FFFFFF"/>
              </w:rPr>
              <w:t>ROI (ans)</w:t>
            </w:r>
          </w:p>
        </w:tc>
        <w:tc>
          <w:tcPr>
            <w:tcW w:type="dxa" w:w="737"/>
            <w:shd w:val="clear" w:color="auto" w:fill="1F4E79"/>
          </w:tcPr>
          <w:p>
            <w:pPr>
              <w:jc w:val="center"/>
            </w:pPr>
            <w:r>
              <w:rPr>
                <w:b/>
                <w:color w:val="FFFFFF"/>
              </w:rPr>
              <w:t>CEE (€)</w:t>
            </w:r>
          </w:p>
        </w:tc>
        <w:tc>
          <w:tcPr>
            <w:tcW w:type="dxa" w:w="1701"/>
            <w:shd w:val="clear" w:color="auto" w:fill="1F4E79"/>
          </w:tcPr>
          <w:p>
            <w:pPr>
              <w:jc w:val="center"/>
            </w:pPr>
            <w:r>
              <w:rPr>
                <w:b/>
                <w:color w:val="FFFFFF"/>
              </w:rPr>
              <w:t>Fiche CEE</w:t>
            </w:r>
          </w:p>
        </w:tc>
      </w:tr>
      <w:tr>
        <w:tc>
          <w:tcPr>
            <w:tcW w:type="dxa" w:w="283"/>
            <w:shd w:val="clear" w:color="auto" w:fill="1A7A45"/>
          </w:tcPr>
          <w:p>
            <w:pPr>
              <w:jc w:val="center"/>
            </w:pPr>
            <w:r>
              <w:rPr>
                <w:color w:val="FFFFFF"/>
                <w:sz w:val="20"/>
              </w:rPr>
              <w:t>●</w:t>
            </w:r>
          </w:p>
        </w:tc>
        <w:tc>
          <w:tcPr>
            <w:tcW w:type="dxa" w:w="2154"/>
            <w:shd w:val="clear" w:color="auto" w:fill="FFFFFF"/>
          </w:tcPr>
          <w:p>
            <w:pPr>
              <w:spacing w:before="40" w:after="40"/>
            </w:pPr>
            <w:r>
              <w:rPr>
                <w:sz w:val="14"/>
              </w:rPr>
              <w:t>Remplacement des éclairages industriels Osram HQL 250W par des LED dans l'Atelier finition</w:t>
            </w:r>
          </w:p>
        </w:tc>
        <w:tc>
          <w:tcPr>
            <w:tcW w:type="dxa" w:w="850"/>
            <w:shd w:val="clear" w:color="auto" w:fill="FFFFFF"/>
          </w:tcPr>
          <w:p>
            <w:r>
              <w:rPr>
                <w:sz w:val="16"/>
              </w:rPr>
              <w:t>Remplac.</w:t>
            </w:r>
          </w:p>
        </w:tc>
        <w:tc>
          <w:tcPr>
            <w:tcW w:type="dxa" w:w="1020"/>
            <w:shd w:val="clear" w:color="auto" w:fill="FFFFFF"/>
          </w:tcPr>
          <w:p>
            <w:r>
              <w:rPr>
                <w:sz w:val="16"/>
              </w:rPr>
              <w:t>Éclairage</w:t>
            </w:r>
          </w:p>
        </w:tc>
        <w:tc>
          <w:tcPr>
            <w:tcW w:type="dxa" w:w="907"/>
            <w:shd w:val="clear" w:color="auto" w:fill="FFFFFF"/>
          </w:tcPr>
          <w:p>
            <w:r>
              <w:rPr>
                <w:sz w:val="16"/>
              </w:rPr>
              <w:t>21 000</w:t>
            </w:r>
          </w:p>
        </w:tc>
        <w:tc>
          <w:tcPr>
            <w:tcW w:type="dxa" w:w="794"/>
            <w:shd w:val="clear" w:color="auto" w:fill="FFFFFF"/>
          </w:tcPr>
          <w:p>
            <w:r>
              <w:rPr>
                <w:sz w:val="16"/>
              </w:rPr>
              <w:t>1 805</w:t>
            </w:r>
          </w:p>
        </w:tc>
        <w:tc>
          <w:tcPr>
            <w:tcW w:type="dxa" w:w="680"/>
            <w:shd w:val="clear" w:color="auto" w:fill="FFFFFF"/>
          </w:tcPr>
          <w:p>
            <w:r>
              <w:rPr>
                <w:sz w:val="16"/>
              </w:rPr>
              <w:t>2,5</w:t>
            </w:r>
          </w:p>
        </w:tc>
        <w:tc>
          <w:tcPr>
            <w:tcW w:type="dxa" w:w="737"/>
            <w:shd w:val="clear" w:color="auto" w:fill="E8F5E9"/>
            <w:shd w:val="clear" w:color="auto" w:fill="FFFFFF"/>
          </w:tcPr>
          <w:p>
            <w:r>
              <w:rPr>
                <w:sz w:val="16"/>
              </w:rPr>
              <w:t>1 417</w:t>
            </w:r>
          </w:p>
        </w:tc>
        <w:tc>
          <w:tcPr>
            <w:tcW w:type="dxa" w:w="1701"/>
            <w:shd w:val="clear" w:color="auto" w:fill="FFFFFF"/>
          </w:tcPr>
          <w:p>
            <w:r>
              <w:rPr>
                <w:sz w:val="16"/>
              </w:rPr>
              <w:t>—</w:t>
            </w:r>
          </w:p>
        </w:tc>
      </w:tr>
      <w:tr>
        <w:tc>
          <w:tcPr>
            <w:tcW w:type="dxa" w:w="283"/>
            <w:shd w:val="clear" w:color="auto" w:fill="1A7A45"/>
          </w:tcPr>
          <w:p>
            <w:pPr>
              <w:jc w:val="center"/>
            </w:pPr>
            <w:r>
              <w:rPr>
                <w:color w:val="FFFFFF"/>
                <w:sz w:val="20"/>
              </w:rPr>
              <w:t>●</w:t>
            </w:r>
          </w:p>
        </w:tc>
        <w:tc>
          <w:tcPr>
            <w:tcW w:type="dxa" w:w="2154"/>
            <w:shd w:val="clear" w:color="auto" w:fill="EBF3FA"/>
          </w:tcPr>
          <w:p>
            <w:pPr>
              <w:spacing w:before="40" w:after="40"/>
            </w:pPr>
            <w:r>
              <w:rPr>
                <w:sz w:val="14"/>
              </w:rPr>
              <w:t>Installation d'un variateur de vitesse sur le moteur LBC 350 kW de l'Atelier finition</w:t>
            </w:r>
          </w:p>
        </w:tc>
        <w:tc>
          <w:tcPr>
            <w:tcW w:type="dxa" w:w="850"/>
            <w:shd w:val="clear" w:color="auto" w:fill="EBF3FA"/>
          </w:tcPr>
          <w:p>
            <w:r>
              <w:rPr>
                <w:sz w:val="16"/>
              </w:rPr>
              <w:t>Remplac.</w:t>
            </w:r>
          </w:p>
        </w:tc>
        <w:tc>
          <w:tcPr>
            <w:tcW w:type="dxa" w:w="1020"/>
            <w:shd w:val="clear" w:color="auto" w:fill="EBF3FA"/>
          </w:tcPr>
          <w:p>
            <w:r>
              <w:rPr>
                <w:sz w:val="16"/>
              </w:rPr>
              <w:t>Moteurs / Entraînements</w:t>
            </w:r>
          </w:p>
        </w:tc>
        <w:tc>
          <w:tcPr>
            <w:tcW w:type="dxa" w:w="907"/>
            <w:shd w:val="clear" w:color="auto" w:fill="EBF3FA"/>
          </w:tcPr>
          <w:p>
            <w:r>
              <w:rPr>
                <w:sz w:val="16"/>
              </w:rPr>
              <w:t>157 500</w:t>
            </w:r>
          </w:p>
        </w:tc>
        <w:tc>
          <w:tcPr>
            <w:tcW w:type="dxa" w:w="794"/>
            <w:shd w:val="clear" w:color="auto" w:fill="EBF3FA"/>
          </w:tcPr>
          <w:p>
            <w:r>
              <w:rPr>
                <w:sz w:val="16"/>
              </w:rPr>
              <w:t>13 544</w:t>
            </w:r>
          </w:p>
        </w:tc>
        <w:tc>
          <w:tcPr>
            <w:tcW w:type="dxa" w:w="680"/>
            <w:shd w:val="clear" w:color="auto" w:fill="EBF3FA"/>
          </w:tcPr>
          <w:p>
            <w:r>
              <w:rPr>
                <w:sz w:val="16"/>
              </w:rPr>
              <w:t>2,6</w:t>
            </w:r>
          </w:p>
        </w:tc>
        <w:tc>
          <w:tcPr>
            <w:tcW w:type="dxa" w:w="737"/>
            <w:shd w:val="clear" w:color="auto" w:fill="E8F5E9"/>
            <w:shd w:val="clear" w:color="auto" w:fill="EBF3FA"/>
          </w:tcPr>
          <w:p>
            <w:r>
              <w:rPr>
                <w:sz w:val="16"/>
              </w:rPr>
              <w:t>10 631</w:t>
            </w:r>
          </w:p>
        </w:tc>
        <w:tc>
          <w:tcPr>
            <w:tcW w:type="dxa" w:w="1701"/>
            <w:shd w:val="clear" w:color="auto" w:fill="EBF3FA"/>
          </w:tcPr>
          <w:p>
            <w:r>
              <w:rPr>
                <w:sz w:val="16"/>
              </w:rPr>
              <w:t>IND-UT-102</w:t>
            </w:r>
          </w:p>
        </w:tc>
      </w:tr>
      <w:tr>
        <w:tc>
          <w:tcPr>
            <w:tcW w:type="dxa" w:w="283"/>
            <w:shd w:val="clear" w:color="auto" w:fill="C45A00"/>
          </w:tcPr>
          <w:p>
            <w:pPr>
              <w:jc w:val="center"/>
            </w:pPr>
            <w:r>
              <w:rPr>
                <w:color w:val="FFFFFF"/>
                <w:sz w:val="20"/>
              </w:rPr>
              <w:t>●</w:t>
            </w:r>
          </w:p>
        </w:tc>
        <w:tc>
          <w:tcPr>
            <w:tcW w:type="dxa" w:w="2154"/>
            <w:shd w:val="clear" w:color="auto" w:fill="FFFFFF"/>
          </w:tcPr>
          <w:p>
            <w:pPr>
              <w:spacing w:before="40" w:after="40"/>
            </w:pPr>
            <w:r>
              <w:rPr>
                <w:sz w:val="14"/>
              </w:rPr>
              <w:t>Électrification : Chaudière gazDe Dietrich GT 330 (Chaufferie)</w:t>
            </w:r>
          </w:p>
        </w:tc>
        <w:tc>
          <w:tcPr>
            <w:tcW w:type="dxa" w:w="850"/>
            <w:shd w:val="clear" w:color="auto" w:fill="FFFFFF"/>
          </w:tcPr>
          <w:p>
            <w:r>
              <w:rPr>
                <w:sz w:val="16"/>
              </w:rPr>
            </w:r>
          </w:p>
        </w:tc>
        <w:tc>
          <w:tcPr>
            <w:tcW w:type="dxa" w:w="1020"/>
            <w:shd w:val="clear" w:color="auto" w:fill="FFFFFF"/>
          </w:tcPr>
          <w:p>
            <w:r>
              <w:rPr>
                <w:sz w:val="16"/>
              </w:rPr>
              <w:t>Chauffage</w:t>
            </w:r>
          </w:p>
        </w:tc>
        <w:tc>
          <w:tcPr>
            <w:tcW w:type="dxa" w:w="907"/>
            <w:shd w:val="clear" w:color="auto" w:fill="FFFFFF"/>
          </w:tcPr>
          <w:p>
            <w:r>
              <w:rPr>
                <w:sz w:val="16"/>
              </w:rPr>
              <w:t>1 250 000</w:t>
            </w:r>
          </w:p>
        </w:tc>
        <w:tc>
          <w:tcPr>
            <w:tcW w:type="dxa" w:w="794"/>
            <w:shd w:val="clear" w:color="auto" w:fill="FFFFFF"/>
          </w:tcPr>
          <w:p>
            <w:r>
              <w:rPr>
                <w:sz w:val="16"/>
              </w:rPr>
              <w:t>65 000</w:t>
            </w:r>
          </w:p>
        </w:tc>
        <w:tc>
          <w:tcPr>
            <w:tcW w:type="dxa" w:w="680"/>
            <w:shd w:val="clear" w:color="auto" w:fill="FFFFFF"/>
          </w:tcPr>
          <w:p>
            <w:r>
              <w:rPr>
                <w:sz w:val="16"/>
              </w:rPr>
              <w:t>4,8</w:t>
            </w:r>
          </w:p>
        </w:tc>
        <w:tc>
          <w:tcPr>
            <w:tcW w:type="dxa" w:w="737"/>
            <w:shd w:val="clear" w:color="auto" w:fill="E8F5E9"/>
            <w:shd w:val="clear" w:color="auto" w:fill="FFFFFF"/>
          </w:tcPr>
          <w:p>
            <w:r>
              <w:rPr>
                <w:sz w:val="16"/>
              </w:rPr>
              <w:t>84 375</w:t>
            </w:r>
          </w:p>
        </w:tc>
        <w:tc>
          <w:tcPr>
            <w:tcW w:type="dxa" w:w="1701"/>
            <w:shd w:val="clear" w:color="auto" w:fill="FFFFFF"/>
          </w:tcPr>
          <w:p>
            <w:r>
              <w:rPr>
                <w:sz w:val="16"/>
              </w:rPr>
              <w:t>—</w:t>
            </w:r>
          </w:p>
        </w:tc>
      </w:tr>
      <w:tr>
        <w:tc>
          <w:tcPr>
            <w:tcW w:type="dxa" w:w="283"/>
            <w:shd w:val="clear" w:color="auto" w:fill="C45A00"/>
          </w:tcPr>
          <w:p>
            <w:pPr>
              <w:jc w:val="center"/>
            </w:pPr>
            <w:r>
              <w:rPr>
                <w:color w:val="FFFFFF"/>
                <w:sz w:val="20"/>
              </w:rPr>
              <w:t>●</w:t>
            </w:r>
          </w:p>
        </w:tc>
        <w:tc>
          <w:tcPr>
            <w:tcW w:type="dxa" w:w="2154"/>
            <w:shd w:val="clear" w:color="auto" w:fill="EBF3FA"/>
          </w:tcPr>
          <w:p>
            <w:pPr>
              <w:spacing w:before="40" w:after="40"/>
            </w:pPr>
            <w:r>
              <w:rPr>
                <w:sz w:val="14"/>
              </w:rPr>
              <w:t>Récupération de chaleur fatale sur les fours à induction ABP Induction IFM 2000 et IFM 1000</w:t>
            </w:r>
          </w:p>
        </w:tc>
        <w:tc>
          <w:tcPr>
            <w:tcW w:type="dxa" w:w="850"/>
            <w:shd w:val="clear" w:color="auto" w:fill="EBF3FA"/>
          </w:tcPr>
          <w:p>
            <w:r>
              <w:rPr>
                <w:sz w:val="16"/>
              </w:rPr>
              <w:t>Remplac.</w:t>
            </w:r>
          </w:p>
        </w:tc>
        <w:tc>
          <w:tcPr>
            <w:tcW w:type="dxa" w:w="1020"/>
            <w:shd w:val="clear" w:color="auto" w:fill="EBF3FA"/>
          </w:tcPr>
          <w:p>
            <w:r>
              <w:rPr>
                <w:sz w:val="16"/>
              </w:rPr>
              <w:t>Process industriel</w:t>
            </w:r>
          </w:p>
        </w:tc>
        <w:tc>
          <w:tcPr>
            <w:tcW w:type="dxa" w:w="907"/>
            <w:shd w:val="clear" w:color="auto" w:fill="EBF3FA"/>
          </w:tcPr>
          <w:p>
            <w:r>
              <w:rPr>
                <w:sz w:val="16"/>
              </w:rPr>
              <w:t>432 000</w:t>
            </w:r>
          </w:p>
        </w:tc>
        <w:tc>
          <w:tcPr>
            <w:tcW w:type="dxa" w:w="794"/>
            <w:shd w:val="clear" w:color="auto" w:fill="EBF3FA"/>
          </w:tcPr>
          <w:p>
            <w:r>
              <w:rPr>
                <w:sz w:val="16"/>
              </w:rPr>
              <w:t>37 152</w:t>
            </w:r>
          </w:p>
        </w:tc>
        <w:tc>
          <w:tcPr>
            <w:tcW w:type="dxa" w:w="680"/>
            <w:shd w:val="clear" w:color="auto" w:fill="EBF3FA"/>
          </w:tcPr>
          <w:p>
            <w:r>
              <w:rPr>
                <w:sz w:val="16"/>
              </w:rPr>
              <w:t>8,1</w:t>
            </w:r>
          </w:p>
        </w:tc>
        <w:tc>
          <w:tcPr>
            <w:tcW w:type="dxa" w:w="737"/>
            <w:shd w:val="clear" w:color="auto" w:fill="E8F5E9"/>
            <w:shd w:val="clear" w:color="auto" w:fill="EBF3FA"/>
          </w:tcPr>
          <w:p>
            <w:r>
              <w:rPr>
                <w:sz w:val="16"/>
              </w:rPr>
              <w:t>38 880</w:t>
            </w:r>
          </w:p>
        </w:tc>
        <w:tc>
          <w:tcPr>
            <w:tcW w:type="dxa" w:w="1701"/>
            <w:shd w:val="clear" w:color="auto" w:fill="EBF3FA"/>
          </w:tcPr>
          <w:p>
            <w:r>
              <w:rPr>
                <w:sz w:val="16"/>
              </w:rPr>
              <w:t>IND-UT-118</w:t>
            </w:r>
          </w:p>
        </w:tc>
      </w:tr>
      <w:tr>
        <w:tc>
          <w:tcPr>
            <w:tcW w:type="dxa" w:w="283"/>
            <w:shd w:val="clear" w:color="auto" w:fill="C45A00"/>
          </w:tcPr>
          <w:p>
            <w:pPr>
              <w:jc w:val="center"/>
            </w:pPr>
            <w:r>
              <w:rPr>
                <w:color w:val="FFFFFF"/>
                <w:sz w:val="20"/>
              </w:rPr>
              <w:t>●</w:t>
            </w:r>
          </w:p>
        </w:tc>
        <w:tc>
          <w:tcPr>
            <w:tcW w:type="dxa" w:w="2154"/>
            <w:shd w:val="clear" w:color="auto" w:fill="FFFFFF"/>
          </w:tcPr>
          <w:p>
            <w:pPr>
              <w:spacing w:before="40" w:after="40"/>
            </w:pPr>
            <w:r>
              <w:rPr>
                <w:sz w:val="14"/>
              </w:rPr>
              <w:t>Optimisation du groupe de refroidissement Carrier 30RBS 120 dans le Hall de fusion</w:t>
            </w:r>
          </w:p>
        </w:tc>
        <w:tc>
          <w:tcPr>
            <w:tcW w:type="dxa" w:w="850"/>
            <w:shd w:val="clear" w:color="auto" w:fill="FFFFFF"/>
          </w:tcPr>
          <w:p>
            <w:r>
              <w:rPr>
                <w:sz w:val="16"/>
              </w:rPr>
              <w:t>Remplac.</w:t>
            </w:r>
          </w:p>
        </w:tc>
        <w:tc>
          <w:tcPr>
            <w:tcW w:type="dxa" w:w="1020"/>
            <w:shd w:val="clear" w:color="auto" w:fill="FFFFFF"/>
          </w:tcPr>
          <w:p>
            <w:r>
              <w:rPr>
                <w:sz w:val="16"/>
              </w:rPr>
              <w:t>Climatisation / Froid</w:t>
            </w:r>
          </w:p>
        </w:tc>
        <w:tc>
          <w:tcPr>
            <w:tcW w:type="dxa" w:w="907"/>
            <w:shd w:val="clear" w:color="auto" w:fill="FFFFFF"/>
          </w:tcPr>
          <w:p>
            <w:r>
              <w:rPr>
                <w:sz w:val="16"/>
              </w:rPr>
              <w:t>68 000</w:t>
            </w:r>
          </w:p>
        </w:tc>
        <w:tc>
          <w:tcPr>
            <w:tcW w:type="dxa" w:w="794"/>
            <w:shd w:val="clear" w:color="auto" w:fill="FFFFFF"/>
          </w:tcPr>
          <w:p>
            <w:r>
              <w:rPr>
                <w:sz w:val="16"/>
              </w:rPr>
              <w:t>5 847</w:t>
            </w:r>
          </w:p>
        </w:tc>
        <w:tc>
          <w:tcPr>
            <w:tcW w:type="dxa" w:w="680"/>
            <w:shd w:val="clear" w:color="auto" w:fill="FFFFFF"/>
          </w:tcPr>
          <w:p>
            <w:r>
              <w:rPr>
                <w:sz w:val="16"/>
              </w:rPr>
              <w:t>8,6</w:t>
            </w:r>
          </w:p>
        </w:tc>
        <w:tc>
          <w:tcPr>
            <w:tcW w:type="dxa" w:w="737"/>
            <w:shd w:val="clear" w:color="auto" w:fill="E8F5E9"/>
            <w:shd w:val="clear" w:color="auto" w:fill="FFFFFF"/>
          </w:tcPr>
          <w:p>
            <w:r>
              <w:rPr>
                <w:sz w:val="16"/>
              </w:rPr>
              <w:t>4 590</w:t>
            </w:r>
          </w:p>
        </w:tc>
        <w:tc>
          <w:tcPr>
            <w:tcW w:type="dxa" w:w="1701"/>
            <w:shd w:val="clear" w:color="auto" w:fill="FFFFFF"/>
          </w:tcPr>
          <w:p>
            <w:r>
              <w:rPr>
                <w:sz w:val="16"/>
              </w:rPr>
              <w:t>IND-UT-115</w:t>
            </w:r>
          </w:p>
        </w:tc>
      </w:tr>
      <w:tr>
        <w:tc>
          <w:tcPr>
            <w:tcW w:type="dxa" w:w="283"/>
            <w:shd w:val="clear" w:color="auto" w:fill="C0392B"/>
          </w:tcPr>
          <w:p>
            <w:pPr>
              <w:jc w:val="center"/>
            </w:pPr>
            <w:r>
              <w:rPr>
                <w:color w:val="FFFFFF"/>
                <w:sz w:val="20"/>
              </w:rPr>
              <w:t>●</w:t>
            </w:r>
          </w:p>
        </w:tc>
        <w:tc>
          <w:tcPr>
            <w:tcW w:type="dxa" w:w="2154"/>
            <w:shd w:val="clear" w:color="auto" w:fill="EBF3FA"/>
          </w:tcPr>
          <w:p>
            <w:pPr>
              <w:spacing w:before="40" w:after="40"/>
            </w:pPr>
            <w:r>
              <w:rPr>
                <w:sz w:val="14"/>
              </w:rPr>
              <w:t>Mise en place d'un système de gestion technique (GTB) pour les fours et le système d'aspiration du Hall de fusion</w:t>
            </w:r>
          </w:p>
        </w:tc>
        <w:tc>
          <w:tcPr>
            <w:tcW w:type="dxa" w:w="850"/>
            <w:shd w:val="clear" w:color="auto" w:fill="EBF3FA"/>
          </w:tcPr>
          <w:p>
            <w:r>
              <w:rPr>
                <w:sz w:val="16"/>
              </w:rPr>
              <w:t>Remplac.</w:t>
            </w:r>
          </w:p>
        </w:tc>
        <w:tc>
          <w:tcPr>
            <w:tcW w:type="dxa" w:w="1020"/>
            <w:shd w:val="clear" w:color="auto" w:fill="EBF3FA"/>
          </w:tcPr>
          <w:p>
            <w:r>
              <w:rPr>
                <w:sz w:val="16"/>
              </w:rPr>
              <w:t>Gestion technique (GTB/GTC)</w:t>
            </w:r>
          </w:p>
        </w:tc>
        <w:tc>
          <w:tcPr>
            <w:tcW w:type="dxa" w:w="907"/>
            <w:shd w:val="clear" w:color="auto" w:fill="EBF3FA"/>
          </w:tcPr>
          <w:p>
            <w:r>
              <w:rPr>
                <w:sz w:val="16"/>
              </w:rPr>
              <w:t>570 000</w:t>
            </w:r>
          </w:p>
        </w:tc>
        <w:tc>
          <w:tcPr>
            <w:tcW w:type="dxa" w:w="794"/>
            <w:shd w:val="clear" w:color="auto" w:fill="EBF3FA"/>
          </w:tcPr>
          <w:p>
            <w:r>
              <w:rPr>
                <w:sz w:val="16"/>
              </w:rPr>
              <w:t>49 019</w:t>
            </w:r>
          </w:p>
        </w:tc>
        <w:tc>
          <w:tcPr>
            <w:tcW w:type="dxa" w:w="680"/>
            <w:shd w:val="clear" w:color="auto" w:fill="EBF3FA"/>
          </w:tcPr>
          <w:p>
            <w:r>
              <w:rPr>
                <w:sz w:val="16"/>
              </w:rPr>
              <w:t>12,2</w:t>
            </w:r>
          </w:p>
        </w:tc>
        <w:tc>
          <w:tcPr>
            <w:tcW w:type="dxa" w:w="737"/>
            <w:shd w:val="clear" w:color="auto" w:fill="E8F5E9"/>
            <w:shd w:val="clear" w:color="auto" w:fill="EBF3FA"/>
          </w:tcPr>
          <w:p>
            <w:r>
              <w:rPr>
                <w:sz w:val="16"/>
              </w:rPr>
              <w:t>51 300</w:t>
            </w:r>
          </w:p>
        </w:tc>
        <w:tc>
          <w:tcPr>
            <w:tcW w:type="dxa" w:w="1701"/>
            <w:shd w:val="clear" w:color="auto" w:fill="EBF3FA"/>
          </w:tcPr>
          <w:p>
            <w:r>
              <w:rPr>
                <w:sz w:val="16"/>
              </w:rPr>
              <w:t>BAT-TH-116</w:t>
            </w:r>
          </w:p>
        </w:tc>
      </w:tr>
      <w:tr>
        <w:tc>
          <w:tcPr>
            <w:tcW w:type="dxa" w:w="283"/>
            <w:shd w:val="clear" w:color="auto" w:fill="C0392B"/>
          </w:tcPr>
          <w:p>
            <w:pPr>
              <w:jc w:val="center"/>
            </w:pPr>
            <w:r>
              <w:rPr>
                <w:color w:val="FFFFFF"/>
                <w:sz w:val="20"/>
              </w:rPr>
              <w:t>●</w:t>
            </w:r>
          </w:p>
        </w:tc>
        <w:tc>
          <w:tcPr>
            <w:tcW w:type="dxa" w:w="2154"/>
            <w:shd w:val="clear" w:color="auto" w:fill="FFFFFF"/>
          </w:tcPr>
          <w:p>
            <w:pPr>
              <w:spacing w:before="40" w:after="40"/>
            </w:pPr>
            <w:r>
              <w:rPr>
                <w:sz w:val="14"/>
              </w:rPr>
              <w:t>Remplacement (vétusté) : Chaudière gazDe Dietrich GT 330 (Chaufferie)</w:t>
            </w:r>
          </w:p>
        </w:tc>
        <w:tc>
          <w:tcPr>
            <w:tcW w:type="dxa" w:w="850"/>
            <w:shd w:val="clear" w:color="auto" w:fill="FFFFFF"/>
          </w:tcPr>
          <w:p>
            <w:r>
              <w:rPr>
                <w:sz w:val="16"/>
              </w:rPr>
            </w:r>
          </w:p>
        </w:tc>
        <w:tc>
          <w:tcPr>
            <w:tcW w:type="dxa" w:w="1020"/>
            <w:shd w:val="clear" w:color="auto" w:fill="FFFFFF"/>
          </w:tcPr>
          <w:p>
            <w:r>
              <w:rPr>
                <w:sz w:val="16"/>
              </w:rPr>
              <w:t>Chauffage</w:t>
            </w:r>
          </w:p>
        </w:tc>
        <w:tc>
          <w:tcPr>
            <w:tcW w:type="dxa" w:w="907"/>
            <w:shd w:val="clear" w:color="auto" w:fill="FFFFFF"/>
          </w:tcPr>
          <w:p>
            <w:r>
              <w:rPr>
                <w:sz w:val="16"/>
              </w:rPr>
              <w:t>262 500</w:t>
            </w:r>
          </w:p>
        </w:tc>
        <w:tc>
          <w:tcPr>
            <w:tcW w:type="dxa" w:w="794"/>
            <w:shd w:val="clear" w:color="auto" w:fill="FFFFFF"/>
          </w:tcPr>
          <w:p>
            <w:r>
              <w:rPr>
                <w:sz w:val="16"/>
              </w:rPr>
              <w:t>22 575</w:t>
            </w:r>
          </w:p>
        </w:tc>
        <w:tc>
          <w:tcPr>
            <w:tcW w:type="dxa" w:w="680"/>
            <w:shd w:val="clear" w:color="auto" w:fill="FFFFFF"/>
          </w:tcPr>
          <w:p>
            <w:r>
              <w:rPr>
                <w:sz w:val="16"/>
              </w:rPr>
              <w:t>14,0</w:t>
            </w:r>
          </w:p>
        </w:tc>
        <w:tc>
          <w:tcPr>
            <w:tcW w:type="dxa" w:w="737"/>
            <w:shd w:val="clear" w:color="auto" w:fill="E8F5E9"/>
            <w:shd w:val="clear" w:color="auto" w:fill="FFFFFF"/>
          </w:tcPr>
          <w:p>
            <w:r>
              <w:rPr>
                <w:sz w:val="16"/>
              </w:rPr>
              <w:t>17 718</w:t>
            </w:r>
          </w:p>
        </w:tc>
        <w:tc>
          <w:tcPr>
            <w:tcW w:type="dxa" w:w="1701"/>
            <w:shd w:val="clear" w:color="auto" w:fill="FFFFFF"/>
          </w:tcPr>
          <w:p>
            <w:r>
              <w:rPr>
                <w:sz w:val="16"/>
              </w:rPr>
              <w:t>—</w:t>
            </w:r>
          </w:p>
        </w:tc>
      </w:tr>
      <w:tr>
        <w:tc>
          <w:tcPr>
            <w:tcW w:type="dxa" w:w="283"/>
            <w:shd w:val="clear" w:color="auto" w:fill="C0392B"/>
          </w:tcPr>
          <w:p>
            <w:pPr>
              <w:jc w:val="center"/>
            </w:pPr>
            <w:r>
              <w:rPr>
                <w:color w:val="FFFFFF"/>
                <w:sz w:val="20"/>
              </w:rPr>
              <w:t>●</w:t>
            </w:r>
          </w:p>
        </w:tc>
        <w:tc>
          <w:tcPr>
            <w:tcW w:type="dxa" w:w="2154"/>
            <w:shd w:val="clear" w:color="auto" w:fill="EBF3FA"/>
          </w:tcPr>
          <w:p>
            <w:pPr>
              <w:spacing w:before="40" w:after="40"/>
            </w:pPr>
            <w:r>
              <w:rPr>
                <w:sz w:val="14"/>
              </w:rPr>
              <w:t>Remplacement du brûleur Weishaupt WG30N par un modèle micromodulant dans la Chaufferie</w:t>
            </w:r>
          </w:p>
        </w:tc>
        <w:tc>
          <w:tcPr>
            <w:tcW w:type="dxa" w:w="850"/>
            <w:shd w:val="clear" w:color="auto" w:fill="EBF3FA"/>
          </w:tcPr>
          <w:p>
            <w:r>
              <w:rPr>
                <w:sz w:val="16"/>
              </w:rPr>
              <w:t>Remplac.</w:t>
            </w:r>
          </w:p>
        </w:tc>
        <w:tc>
          <w:tcPr>
            <w:tcW w:type="dxa" w:w="1020"/>
            <w:shd w:val="clear" w:color="auto" w:fill="EBF3FA"/>
          </w:tcPr>
          <w:p>
            <w:r>
              <w:rPr>
                <w:sz w:val="16"/>
              </w:rPr>
              <w:t>Chauffage</w:t>
            </w:r>
          </w:p>
        </w:tc>
        <w:tc>
          <w:tcPr>
            <w:tcW w:type="dxa" w:w="907"/>
            <w:shd w:val="clear" w:color="auto" w:fill="EBF3FA"/>
          </w:tcPr>
          <w:p>
            <w:r>
              <w:rPr>
                <w:sz w:val="16"/>
              </w:rPr>
              <w:t>45 000</w:t>
            </w:r>
          </w:p>
        </w:tc>
        <w:tc>
          <w:tcPr>
            <w:tcW w:type="dxa" w:w="794"/>
            <w:shd w:val="clear" w:color="auto" w:fill="EBF3FA"/>
          </w:tcPr>
          <w:p>
            <w:r>
              <w:rPr>
                <w:sz w:val="16"/>
              </w:rPr>
              <w:t>3 869</w:t>
            </w:r>
          </w:p>
        </w:tc>
        <w:tc>
          <w:tcPr>
            <w:tcW w:type="dxa" w:w="680"/>
            <w:shd w:val="clear" w:color="auto" w:fill="EBF3FA"/>
          </w:tcPr>
          <w:p>
            <w:r>
              <w:rPr>
                <w:sz w:val="16"/>
              </w:rPr>
              <w:t>15,5</w:t>
            </w:r>
          </w:p>
        </w:tc>
        <w:tc>
          <w:tcPr>
            <w:tcW w:type="dxa" w:w="737"/>
            <w:shd w:val="clear" w:color="auto" w:fill="E8F5E9"/>
            <w:shd w:val="clear" w:color="auto" w:fill="EBF3FA"/>
          </w:tcPr>
          <w:p>
            <w:r>
              <w:rPr>
                <w:sz w:val="16"/>
              </w:rPr>
              <w:t>3 037</w:t>
            </w:r>
          </w:p>
        </w:tc>
        <w:tc>
          <w:tcPr>
            <w:tcW w:type="dxa" w:w="1701"/>
            <w:shd w:val="clear" w:color="auto" w:fill="EBF3FA"/>
          </w:tcPr>
          <w:p>
            <w:r>
              <w:rPr>
                <w:sz w:val="16"/>
              </w:rPr>
              <w:t>IND-UT-105</w:t>
            </w:r>
          </w:p>
        </w:tc>
      </w:tr>
    </w:tbl>
    <w:p/>
    <w:p>
      <w:pPr>
        <w:jc w:val="center"/>
      </w:pPr>
      <w:r>
        <w:drawing>
          <wp:inline xmlns:a="http://schemas.openxmlformats.org/drawingml/2006/main" xmlns:pic="http://schemas.openxmlformats.org/drawingml/2006/picture">
            <wp:extent cx="5040000" cy="2153656"/>
            <wp:docPr id="3" name="Picture 3"/>
            <wp:cNvGraphicFramePr>
              <a:graphicFrameLocks noChangeAspect="1"/>
            </wp:cNvGraphicFramePr>
            <a:graphic>
              <a:graphicData uri="http://schemas.openxmlformats.org/drawingml/2006/picture">
                <pic:pic>
                  <pic:nvPicPr>
                    <pic:cNvPr id="0" name="tmpwcescim3.png"/>
                    <pic:cNvPicPr/>
                  </pic:nvPicPr>
                  <pic:blipFill>
                    <a:blip r:embed="rId11"/>
                    <a:stretch>
                      <a:fillRect/>
                    </a:stretch>
                  </pic:blipFill>
                  <pic:spPr>
                    <a:xfrm>
                      <a:off x="0" y="0"/>
                      <a:ext cx="5040000" cy="2153656"/>
                    </a:xfrm>
                    <a:prstGeom prst="rect"/>
                  </pic:spPr>
                </pic:pic>
              </a:graphicData>
            </a:graphic>
          </wp:inline>
        </w:drawing>
      </w:r>
    </w:p>
    <w:p>
      <w:r>
        <w:rPr>
          <w:b/>
          <w:color w:val="1F4E79"/>
          <w:sz w:val="22"/>
        </w:rPr>
        <w:t>Récapitulatif visuel de la hiérarchisation</w:t>
      </w:r>
    </w:p>
    <w:p>
      <w:r>
        <w:t>La matrice ci-dessous positionne chaque action selon son retour sur investissement et sa facilité de mise en œuvre. Les quadrants identifient les actions à engager en priorité (« Quick wins ») ainsi que celles nécessitant une réévaluation.</w:t>
      </w:r>
    </w:p>
    <w:p>
      <w:pPr>
        <w:jc w:val="center"/>
      </w:pPr>
      <w:r>
        <w:drawing>
          <wp:inline xmlns:a="http://schemas.openxmlformats.org/drawingml/2006/main" xmlns:pic="http://schemas.openxmlformats.org/drawingml/2006/picture">
            <wp:extent cx="5760000" cy="3592982"/>
            <wp:docPr id="4" name="Picture 4"/>
            <wp:cNvGraphicFramePr>
              <a:graphicFrameLocks noChangeAspect="1"/>
            </wp:cNvGraphicFramePr>
            <a:graphic>
              <a:graphicData uri="http://schemas.openxmlformats.org/drawingml/2006/picture">
                <pic:pic>
                  <pic:nvPicPr>
                    <pic:cNvPr id="0" name="tmpx7k54lp2.png"/>
                    <pic:cNvPicPr/>
                  </pic:nvPicPr>
                  <pic:blipFill>
                    <a:blip r:embed="rId12"/>
                    <a:stretch>
                      <a:fillRect/>
                    </a:stretch>
                  </pic:blipFill>
                  <pic:spPr>
                    <a:xfrm>
                      <a:off x="0" y="0"/>
                      <a:ext cx="5760000" cy="3592982"/>
                    </a:xfrm>
                    <a:prstGeom prst="rect"/>
                  </pic:spPr>
                </pic:pic>
              </a:graphicData>
            </a:graphic>
          </wp:inline>
        </w:drawing>
      </w:r>
    </w:p>
    <w:p>
      <w:r>
        <w:t>La courbe de trésorerie cumulée présentée ci-dessous illustre la dynamique financière du plan d'actions complet, en tenant compte d'une inflation énergétique annuelle de 2 %. Le point de croisement avec l'axe zéro marque le retour effectif sur investissement du plan consolidé.</w:t>
      </w:r>
    </w:p>
    <w:p>
      <w:pPr>
        <w:jc w:val="center"/>
      </w:pPr>
      <w:r>
        <w:drawing>
          <wp:inline xmlns:a="http://schemas.openxmlformats.org/drawingml/2006/main" xmlns:pic="http://schemas.openxmlformats.org/drawingml/2006/picture">
            <wp:extent cx="5760000" cy="2848352"/>
            <wp:docPr id="5" name="Picture 5"/>
            <wp:cNvGraphicFramePr>
              <a:graphicFrameLocks noChangeAspect="1"/>
            </wp:cNvGraphicFramePr>
            <a:graphic>
              <a:graphicData uri="http://schemas.openxmlformats.org/drawingml/2006/picture">
                <pic:pic>
                  <pic:nvPicPr>
                    <pic:cNvPr id="0" name="tmprnlh7e91.png"/>
                    <pic:cNvPicPr/>
                  </pic:nvPicPr>
                  <pic:blipFill>
                    <a:blip r:embed="rId13"/>
                    <a:stretch>
                      <a:fillRect/>
                    </a:stretch>
                  </pic:blipFill>
                  <pic:spPr>
                    <a:xfrm>
                      <a:off x="0" y="0"/>
                      <a:ext cx="5760000" cy="2848352"/>
                    </a:xfrm>
                    <a:prstGeom prst="rect"/>
                  </pic:spPr>
                </pic:pic>
              </a:graphicData>
            </a:graphic>
          </wp:inline>
        </w:drawing>
      </w:r>
    </w:p>
    <w:p>
      <w:r>
        <w:t>Le calendrier prévisionnel de mise en œuvre ci-dessous répartit les actions sur un horizon de cinq années, selon leur priorité. Les actions à retour rapide sont engagées dès la première année, celles à horizon moyen entre l'année 2 et 3, et les actions structurantes à retour long terme au-delà. Ce séquencement permet aux économies générées par les premières actions de contribuer au financement des investissements plus lourds qui suivent.</w:t>
      </w:r>
    </w:p>
    <w:p>
      <w:pPr>
        <w:jc w:val="center"/>
      </w:pPr>
      <w:r>
        <w:drawing>
          <wp:inline xmlns:a="http://schemas.openxmlformats.org/drawingml/2006/main" xmlns:pic="http://schemas.openxmlformats.org/drawingml/2006/picture">
            <wp:extent cx="5760000" cy="3091765"/>
            <wp:docPr id="6" name="Picture 6"/>
            <wp:cNvGraphicFramePr>
              <a:graphicFrameLocks noChangeAspect="1"/>
            </wp:cNvGraphicFramePr>
            <a:graphic>
              <a:graphicData uri="http://schemas.openxmlformats.org/drawingml/2006/picture">
                <pic:pic>
                  <pic:nvPicPr>
                    <pic:cNvPr id="0" name="tmpefg_magv.png"/>
                    <pic:cNvPicPr/>
                  </pic:nvPicPr>
                  <pic:blipFill>
                    <a:blip r:embed="rId14"/>
                    <a:stretch>
                      <a:fillRect/>
                    </a:stretch>
                  </pic:blipFill>
                  <pic:spPr>
                    <a:xfrm>
                      <a:off x="0" y="0"/>
                      <a:ext cx="5760000" cy="3091765"/>
                    </a:xfrm>
                    <a:prstGeom prst="rect"/>
                  </pic:spPr>
                </pic:pic>
              </a:graphicData>
            </a:graphic>
          </wp:inline>
        </w:drawing>
      </w:r>
    </w:p>
    <w:p/>
    <w:p/>
    <w:p>
      <w:r>
        <w:rPr>
          <w:b/>
          <w:color w:val="1F4E79"/>
          <w:sz w:val="26"/>
        </w:rPr>
        <w:t>Fiches Actions AAPE</w:t>
      </w:r>
    </w:p>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1   </w:t>
            </w:r>
            <w:r>
              <w:rPr>
                <w:b/>
                <w:color w:val="FFFFFF"/>
                <w:sz w:val="24"/>
              </w:rPr>
              <w:t>REMPLACEMENT DES ÉCLAIRAGES INDUSTRIELS OSRAM HQL 250W PAR DES LED DANS L'ATELIER FINITION</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Éclairage  ·  Remplacement</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L'Atelier finition de la Fonderie Alumi-Test SA utilise actuellement 6 points d'éclairage industriel Osram HQL 250W, installés en 2005, pour une puissance totale de 6 kW. Ces équipements, fonctionnant 5 000 heures par an, consomment 30 000 kWh/an, soit une technologie obsolète et énergivore. Leur rendement lumineux est faible et leur maintenance coûteuse, générant des surcoûts énergétiques et des émissions de CO₂ inutiles.</w:t>
              <w:br/>
              <w:t>Il est préconisé de remplacer les 6 luminaires Osram HQL 250W par des solutions LED haute efficacité, telles que les Philips CoreLine High Bay ou équivalent. Ces nouveaux équipements offriront une puissance réduite à environ 1,8 kW au total, soit une baisse de 70% de la consommation, tout en améliorant la qualité de l'éclairage. Les luminaires LED sélectionnés devront présenter un flux lumineux minimal de 120 lm/W, une durée de vie supérieure à 50 000 heures et une protection IP65 pour résister à l'environnement industriel. L'installation inclura un système de gestion par détection de présence et gradation automatique si justifié par l'usage.</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pourront être réalisés en 2 phases : une étude d'éclairement et commande des équipements (1 semaine), suivie de l'installation sur site pendant un arrêt de production planifié (2 jours). Le délai total de mise en œuvre est estimé à 3 semaines, incluant les tests de conformité et la formation du personnel.</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1 805 €</w:t>
            </w:r>
          </w:p>
          <w:p>
            <w:pPr>
              <w:shd w:val="clear" w:color="auto" w:fill="EBF3FC"/>
              <w:tabs>
                <w:tab w:val="left" w:pos="1814"/>
              </w:tabs>
              <w:spacing w:before="30" w:after="30"/>
              <w:ind w:left="85"/>
            </w:pPr>
            <w:r>
              <w:rPr>
                <w:b/>
                <w:color w:val="1F4E79"/>
                <w:sz w:val="17"/>
              </w:rPr>
              <w:t>Gain annuel (kWh)</w:t>
              <w:tab/>
            </w:r>
            <w:r>
              <w:rPr>
                <w:color w:val="1F4E79"/>
                <w:sz w:val="17"/>
              </w:rPr>
              <w:t>21 000 kWh</w:t>
            </w:r>
          </w:p>
          <w:p>
            <w:pPr>
              <w:shd w:val="clear" w:color="auto" w:fill="1F4E79"/>
              <w:tabs>
                <w:tab w:val="left" w:pos="1814"/>
              </w:tabs>
              <w:spacing w:before="30" w:after="30"/>
              <w:ind w:left="85"/>
            </w:pPr>
            <w:r>
              <w:rPr>
                <w:b/>
                <w:color w:val="FFFFFF"/>
                <w:sz w:val="17"/>
              </w:rPr>
              <w:t>Investissement</w:t>
              <w:tab/>
            </w:r>
            <w:r>
              <w:rPr>
                <w:color w:val="FFFFFF"/>
                <w:sz w:val="17"/>
              </w:rPr>
              <w:t>4 500 €</w:t>
            </w:r>
          </w:p>
          <w:p>
            <w:pPr>
              <w:shd w:val="clear" w:color="auto" w:fill="EBF3FC"/>
              <w:tabs>
                <w:tab w:val="left" w:pos="1814"/>
              </w:tabs>
              <w:spacing w:before="30" w:after="30"/>
              <w:ind w:left="85"/>
            </w:pPr>
            <w:r>
              <w:rPr>
                <w:b/>
                <w:color w:val="1F4E79"/>
                <w:sz w:val="17"/>
              </w:rPr>
              <w:t>kWh cumac</w:t>
              <w:tab/>
            </w:r>
            <w:r>
              <w:rPr>
                <w:color w:val="1F4E79"/>
                <w:sz w:val="17"/>
              </w:rPr>
              <w:t>283 500</w:t>
            </w:r>
          </w:p>
          <w:p>
            <w:pPr>
              <w:shd w:val="clear" w:color="auto" w:fill="1F4E79"/>
              <w:tabs>
                <w:tab w:val="left" w:pos="1814"/>
              </w:tabs>
              <w:spacing w:before="30" w:after="30"/>
              <w:ind w:left="85"/>
            </w:pPr>
            <w:r>
              <w:rPr>
                <w:b/>
                <w:color w:val="FFFFFF"/>
                <w:sz w:val="17"/>
              </w:rPr>
              <w:t>Montant CEE (€)</w:t>
              <w:tab/>
            </w:r>
            <w:r>
              <w:rPr>
                <w:color w:val="FFFFFF"/>
                <w:sz w:val="17"/>
              </w:rPr>
              <w:t>1 417 €</w:t>
            </w:r>
          </w:p>
          <w:p>
            <w:pPr>
              <w:shd w:val="clear" w:color="auto" w:fill="EBF3FC"/>
              <w:tabs>
                <w:tab w:val="left" w:pos="1814"/>
              </w:tabs>
              <w:spacing w:before="30" w:after="30"/>
              <w:ind w:left="85"/>
            </w:pPr>
            <w:r>
              <w:rPr>
                <w:b/>
                <w:color w:val="1F4E79"/>
                <w:sz w:val="17"/>
              </w:rPr>
              <w:t>ROI</w:t>
              <w:tab/>
            </w:r>
            <w:r>
              <w:rPr>
                <w:color w:val="1F4E79"/>
                <w:sz w:val="17"/>
              </w:rPr>
              <w:t>2.5 ans</w:t>
            </w:r>
          </w:p>
          <w:p>
            <w:pPr>
              <w:shd w:val="clear" w:color="auto" w:fill="1F4E79"/>
              <w:tabs>
                <w:tab w:val="left" w:pos="1814"/>
              </w:tabs>
              <w:spacing w:before="30" w:after="30"/>
              <w:ind w:left="85"/>
            </w:pPr>
            <w:r>
              <w:rPr>
                <w:b/>
                <w:color w:val="FFFFFF"/>
                <w:sz w:val="17"/>
              </w:rPr>
              <w:t>Classification ROI</w:t>
              <w:tab/>
            </w:r>
            <w:r>
              <w:rPr>
                <w:color w:val="FFFFFF"/>
                <w:sz w:val="17"/>
              </w:rPr>
              <w:t>Court terme (&lt; 4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calculées sur la base d'une réduction de 70% de la consommation actuelle, soit 30 000 kWh/an × 0,7 = 21 000 kWh/an. Le coût énergétique est estimé à 0,086 €/kWh, incluant l'abonnement et les taxes, ce qui donne une économie financière de 1 805 €/an. Les hypothèses retenues sont un fonctionnement constant de 5 000 h/an et un tarif énergétique stable sur la durée de vie des équipements.</w:t>
            </w:r>
          </w:p>
          <w:p>
            <w:pPr>
              <w:spacing w:before="40" w:after="40"/>
              <w:ind w:left="170"/>
            </w:pPr>
            <w:r>
              <w:rPr>
                <w:b/>
                <w:color w:val="1F4E79"/>
                <w:sz w:val="17"/>
              </w:rPr>
              <w:t xml:space="preserve">Détail de l'investissement : </w:t>
            </w:r>
            <w:r>
              <w:rPr>
                <w:sz w:val="17"/>
              </w:rPr>
              <w:t>L'investissement estimé à 4 500 € comprend l'achat des 6 luminaires LED (3 000 €), la main-d'œuvre pour la dépose des anciens équipements et la pose des nouveaux (1 200 €), ainsi qu'une étude d'éclairement préalable (300 €). Aucun coût supplémentaire n'est prévu pour l'adaptation des infrastructures électriques.</w:t>
            </w:r>
          </w:p>
          <w:p>
            <w:pPr>
              <w:spacing w:before="40" w:after="40"/>
              <w:ind w:left="170"/>
            </w:pPr>
            <w:r>
              <w:rPr>
                <w:b/>
                <w:color w:val="1F4E79"/>
                <w:sz w:val="17"/>
              </w:rPr>
              <w:t xml:space="preserve">Aides financières : </w:t>
            </w:r>
            <w:r>
              <w:rPr>
                <w:sz w:val="17"/>
              </w:rPr>
              <w:t>Non éligible CEE. Cette action ne correspond pas aux critères des fiches standardisées en vigueur pour les Certificats d'Économies d'Énergie dans le secteur industriel ou tertiaire. Aucune aide spécifique, comme MaPrimeRénov ou le Fonds Chaleur, n'est applicable pour ce type de travaux en milieu industriel.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Cette action permettra une réduction annuelle de 21 000 kWh, soit environ 1,5 tonnes équivalent CO₂ évitées par an, en considérant un facteur d'émission moyen de 0,071 kg CO₂/kWh. Elle contribuera également à améliorer le bilan énergétique global du site et à réduire l'empreinte carbone de l'Atelier finition, sans impact sur le DPE du bâtiment, celui-ci n'étant pas chauffé.</w:t>
            </w:r>
          </w:p>
        </w:tc>
      </w:tr>
    </w:tbl>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2   </w:t>
            </w:r>
            <w:r>
              <w:rPr>
                <w:b/>
                <w:color w:val="FFFFFF"/>
                <w:sz w:val="24"/>
              </w:rPr>
              <w:t>INSTALLATION D'UN VARIATEUR DE VITESSE SUR LE MOTEUR LBC 350 KW DE L'ATELIER FINITION</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Moteurs / Entraînements  ·  Remplacement</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Le moteur LBC de 350 kW dans l'Atelier finition fonctionne actuellement à pleine puissance en continu, sans adaptation à la charge réelle. Cette absence de régulation entraîne une surconsommation énergétique significative, avec une consommation annuelle de 1 050 000 kWh. L'équipement, datant de 2027, présente un potentiel d'optimisation important par l'ajout d'un système de variation de vitesse.</w:t>
              <w:br/>
              <w:t>L'action consiste à installer un variateur électronique de vitesse, tel qu'un modèle ABB ACS880, sur le moteur asynchrone LBC de 350 kW. Ce variateur permettra d'ajuster la vitesse et la puissance du moteur en fonction des besoins réels de production, réduisant ainsi la consommation électrique. Le système inclura un filtre harmonique pour limiter les perturbations sur le réseau électrique. Une étude préalable sera réalisée pour valider la compatibilité du moteur avec le variateur et dimensionner les protections nécessaires.</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seront réalisés en trois phases : une étude technique préalable (2 semaines), l'approvisionnement du matériel (3 semaines) et l'installation avec mise en service (2 semaines). Le délai total de mise en œuvre est estimé à 7 semaines, sans interruption majeure de la production.</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13 544 €</w:t>
            </w:r>
          </w:p>
          <w:p>
            <w:pPr>
              <w:shd w:val="clear" w:color="auto" w:fill="EBF3FC"/>
              <w:tabs>
                <w:tab w:val="left" w:pos="1814"/>
              </w:tabs>
              <w:spacing w:before="30" w:after="30"/>
              <w:ind w:left="85"/>
            </w:pPr>
            <w:r>
              <w:rPr>
                <w:b/>
                <w:color w:val="1F4E79"/>
                <w:sz w:val="17"/>
              </w:rPr>
              <w:t>Gain annuel (kWh)</w:t>
              <w:tab/>
            </w:r>
            <w:r>
              <w:rPr>
                <w:color w:val="1F4E79"/>
                <w:sz w:val="17"/>
              </w:rPr>
              <w:t>157 500 kWh</w:t>
            </w:r>
          </w:p>
          <w:p>
            <w:pPr>
              <w:shd w:val="clear" w:color="auto" w:fill="1F4E79"/>
              <w:tabs>
                <w:tab w:val="left" w:pos="1814"/>
              </w:tabs>
              <w:spacing w:before="30" w:after="30"/>
              <w:ind w:left="85"/>
            </w:pPr>
            <w:r>
              <w:rPr>
                <w:b/>
                <w:color w:val="FFFFFF"/>
                <w:sz w:val="17"/>
              </w:rPr>
              <w:t>Investissement</w:t>
              <w:tab/>
            </w:r>
            <w:r>
              <w:rPr>
                <w:color w:val="FFFFFF"/>
                <w:sz w:val="17"/>
              </w:rPr>
              <w:t>35 000 €</w:t>
            </w:r>
          </w:p>
          <w:p>
            <w:pPr>
              <w:shd w:val="clear" w:color="auto" w:fill="EBF3FC"/>
              <w:tabs>
                <w:tab w:val="left" w:pos="1814"/>
              </w:tabs>
              <w:spacing w:before="30" w:after="30"/>
              <w:ind w:left="85"/>
            </w:pPr>
            <w:r>
              <w:rPr>
                <w:b/>
                <w:color w:val="1F4E79"/>
                <w:sz w:val="17"/>
              </w:rPr>
              <w:t>kWh cumac</w:t>
              <w:tab/>
            </w:r>
            <w:r>
              <w:rPr>
                <w:color w:val="1F4E79"/>
                <w:sz w:val="17"/>
              </w:rPr>
              <w:t>2 126 250</w:t>
            </w:r>
          </w:p>
          <w:p>
            <w:pPr>
              <w:shd w:val="clear" w:color="auto" w:fill="1F4E79"/>
              <w:tabs>
                <w:tab w:val="left" w:pos="1814"/>
              </w:tabs>
              <w:spacing w:before="30" w:after="30"/>
              <w:ind w:left="85"/>
            </w:pPr>
            <w:r>
              <w:rPr>
                <w:b/>
                <w:color w:val="FFFFFF"/>
                <w:sz w:val="17"/>
              </w:rPr>
              <w:t>Montant CEE (€)</w:t>
              <w:tab/>
            </w:r>
            <w:r>
              <w:rPr>
                <w:color w:val="FFFFFF"/>
                <w:sz w:val="17"/>
              </w:rPr>
              <w:t>10 631 €</w:t>
            </w:r>
          </w:p>
          <w:p>
            <w:pPr>
              <w:shd w:val="clear" w:color="auto" w:fill="EBF3FC"/>
              <w:tabs>
                <w:tab w:val="left" w:pos="1814"/>
              </w:tabs>
              <w:spacing w:before="30" w:after="30"/>
              <w:ind w:left="85"/>
            </w:pPr>
            <w:r>
              <w:rPr>
                <w:b/>
                <w:color w:val="1F4E79"/>
                <w:sz w:val="17"/>
              </w:rPr>
              <w:t>ROI</w:t>
              <w:tab/>
            </w:r>
            <w:r>
              <w:rPr>
                <w:color w:val="1F4E79"/>
                <w:sz w:val="17"/>
              </w:rPr>
              <w:t>2.6 ans</w:t>
            </w:r>
          </w:p>
          <w:p>
            <w:pPr>
              <w:shd w:val="clear" w:color="auto" w:fill="1F4E79"/>
              <w:tabs>
                <w:tab w:val="left" w:pos="1814"/>
              </w:tabs>
              <w:spacing w:before="30" w:after="30"/>
              <w:ind w:left="85"/>
            </w:pPr>
            <w:r>
              <w:rPr>
                <w:b/>
                <w:color w:val="FFFFFF"/>
                <w:sz w:val="17"/>
              </w:rPr>
              <w:t>Classification ROI</w:t>
              <w:tab/>
            </w:r>
            <w:r>
              <w:rPr>
                <w:color w:val="FFFFFF"/>
                <w:sz w:val="17"/>
              </w:rPr>
              <w:t>Court terme (&lt; 4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estimées à 15% de la consommation annuelle du moteur, soit 157 500 kWh/an, en se basant sur une réduction moyenne de la puissance absorbée grâce à la variation de vitesse. Cette hypothèse repose sur des profils de charge variables observés en atelier et des retours d'expérience similaires. Le coût évité est calculé sur la base d'un tarif moyen de l'électricité de 0,086 €/kWh.</w:t>
            </w:r>
          </w:p>
          <w:p>
            <w:pPr>
              <w:spacing w:before="40" w:after="40"/>
              <w:ind w:left="170"/>
            </w:pPr>
            <w:r>
              <w:rPr>
                <w:b/>
                <w:color w:val="1F4E79"/>
                <w:sz w:val="17"/>
              </w:rPr>
              <w:t xml:space="preserve">Détail de l'investissement : </w:t>
            </w:r>
            <w:r>
              <w:rPr>
                <w:sz w:val="17"/>
              </w:rPr>
              <w:t>L'investissement total est estimé à 35 000 €, incluant l'achat du variateur (20 000 €), les travaux d'installation et de câblage (10 000 €), ainsi que l'étude technique et la mise en service (5 000 €).</w:t>
            </w:r>
          </w:p>
          <w:p>
            <w:pPr>
              <w:spacing w:before="40" w:after="40"/>
              <w:ind w:left="170"/>
            </w:pPr>
            <w:r>
              <w:rPr>
                <w:b/>
                <w:color w:val="1F4E79"/>
                <w:sz w:val="17"/>
              </w:rPr>
              <w:t xml:space="preserve">Aides financières : </w:t>
            </w:r>
            <w:r>
              <w:rPr>
                <w:sz w:val="17"/>
              </w:rPr>
              <w:t>Cette action est éligible aux Certificats d'Économies d'Énergie, car elle correspond à l'installation d'un système de variation électronique de vitesse sur un moteur asynchrone. Les industriels peuvent bénéficier d'un soutien financier sous forme de primes, selon les conditions du dispositif. Le lecteur est invité à consulter le tableau du plan d'actions pour identifier la fiche CEE applicable.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Cette action permettra une réduction annuelle de 11,8 tonnes équivalent CO₂, calculée sur la base d'un facteur d'émission moyen de 0,075 kg CO₂/kWh. Elle contribuera également à améliorer l'efficacité énergétique globale du site, renforçant sa performance environnementale et sa conformité aux exigences réglementaires.</w:t>
            </w:r>
          </w:p>
        </w:tc>
      </w:tr>
    </w:tbl>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3   </w:t>
            </w:r>
            <w:r>
              <w:rPr>
                <w:b/>
                <w:color w:val="FFFFFF"/>
                <w:sz w:val="24"/>
              </w:rPr>
              <w:t>ÉLECTRIFICATION : CHAUDIÈRE GAZDE DIETRICH GT 330 (CHAUFFERIE)  [SCÉNARIO ÉLECTRIFICATION]</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Chauffage</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La chaudière gaz De Dietrich GT 330, installée dans la chaufferie de la Fonderie Alumi-Test SA, présente une consommation annuelle élevée de 1,750,000 kWh de gaz. Cet équipement, vieillissant et peu efficient, contribue significativement à la facture énergétique du site. Son remplacement par une solution plus performante est nécessaire pour réduire les coûts et l'empreinte carbone.</w:t>
              <w:br/>
              <w:t>Remplacement de la chaudière gaz De Dietrich GT 330 par une pompe à chaleur (PAC) collective de type air/eau ou eau/eau, avec un coefficient de performance (COP) minimal de 3.5. La PAC devra être dimensionnée pour couvrir les besoins thermiques du site, soit environ 350 kW de puissance utile. L'installation inclura un système de régulation intelligent pour optimiser les performances et un ballon tampon pour stabiliser la production. Les travaux comprendront également la mise en conformité des réseaux hydrauliques et électriques.</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seront réalisés en trois phases : études et dimensionnement (2 mois), commande et livraison des équipements (3 mois), puis installation et mise en service (2 mois). Le délai total de mise en œuvre est estimé à 7 mois, incluant une période de tests et de réglages.</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65 000 €</w:t>
            </w:r>
          </w:p>
          <w:p>
            <w:pPr>
              <w:shd w:val="clear" w:color="auto" w:fill="EBF3FC"/>
              <w:tabs>
                <w:tab w:val="left" w:pos="1814"/>
              </w:tabs>
              <w:spacing w:before="30" w:after="30"/>
              <w:ind w:left="85"/>
            </w:pPr>
            <w:r>
              <w:rPr>
                <w:b/>
                <w:color w:val="1F4E79"/>
                <w:sz w:val="17"/>
              </w:rPr>
              <w:t>Gain annuel (kWh)</w:t>
              <w:tab/>
            </w:r>
            <w:r>
              <w:rPr>
                <w:color w:val="1F4E79"/>
                <w:sz w:val="17"/>
              </w:rPr>
              <w:t>1 250 000 kWh</w:t>
            </w:r>
          </w:p>
          <w:p>
            <w:pPr>
              <w:shd w:val="clear" w:color="auto" w:fill="1F4E79"/>
              <w:tabs>
                <w:tab w:val="left" w:pos="1814"/>
              </w:tabs>
              <w:spacing w:before="30" w:after="30"/>
              <w:ind w:left="85"/>
            </w:pPr>
            <w:r>
              <w:rPr>
                <w:b/>
                <w:color w:val="FFFFFF"/>
                <w:sz w:val="17"/>
              </w:rPr>
              <w:t>Investissement</w:t>
              <w:tab/>
            </w:r>
            <w:r>
              <w:rPr>
                <w:color w:val="FFFFFF"/>
                <w:sz w:val="17"/>
              </w:rPr>
              <w:t>315 000 €</w:t>
            </w:r>
          </w:p>
          <w:p>
            <w:pPr>
              <w:shd w:val="clear" w:color="auto" w:fill="EBF3FC"/>
              <w:tabs>
                <w:tab w:val="left" w:pos="1814"/>
              </w:tabs>
              <w:spacing w:before="30" w:after="30"/>
              <w:ind w:left="85"/>
            </w:pPr>
            <w:r>
              <w:rPr>
                <w:b/>
                <w:color w:val="1F4E79"/>
                <w:sz w:val="17"/>
              </w:rPr>
              <w:t>kWh cumac</w:t>
              <w:tab/>
            </w:r>
            <w:r>
              <w:rPr>
                <w:color w:val="1F4E79"/>
                <w:sz w:val="17"/>
              </w:rPr>
              <w:t>16 875 000</w:t>
            </w:r>
          </w:p>
          <w:p>
            <w:pPr>
              <w:shd w:val="clear" w:color="auto" w:fill="1F4E79"/>
              <w:tabs>
                <w:tab w:val="left" w:pos="1814"/>
              </w:tabs>
              <w:spacing w:before="30" w:after="30"/>
              <w:ind w:left="85"/>
            </w:pPr>
            <w:r>
              <w:rPr>
                <w:b/>
                <w:color w:val="FFFFFF"/>
                <w:sz w:val="17"/>
              </w:rPr>
              <w:t>Montant CEE (€)</w:t>
              <w:tab/>
            </w:r>
            <w:r>
              <w:rPr>
                <w:color w:val="FFFFFF"/>
                <w:sz w:val="17"/>
              </w:rPr>
              <w:t>84 375 €</w:t>
            </w:r>
          </w:p>
          <w:p>
            <w:pPr>
              <w:shd w:val="clear" w:color="auto" w:fill="EBF3FC"/>
              <w:tabs>
                <w:tab w:val="left" w:pos="1814"/>
              </w:tabs>
              <w:spacing w:before="30" w:after="30"/>
              <w:ind w:left="85"/>
            </w:pPr>
            <w:r>
              <w:rPr>
                <w:b/>
                <w:color w:val="1F4E79"/>
                <w:sz w:val="17"/>
              </w:rPr>
              <w:t>ROI</w:t>
              <w:tab/>
            </w:r>
            <w:r>
              <w:rPr>
                <w:color w:val="1F4E79"/>
                <w:sz w:val="17"/>
              </w:rPr>
              <w:t>4.8 ans</w:t>
            </w:r>
          </w:p>
          <w:p>
            <w:pPr>
              <w:shd w:val="clear" w:color="auto" w:fill="1F4E79"/>
              <w:tabs>
                <w:tab w:val="left" w:pos="1814"/>
              </w:tabs>
              <w:spacing w:before="30" w:after="30"/>
              <w:ind w:left="85"/>
            </w:pPr>
            <w:r>
              <w:rPr>
                <w:b/>
                <w:color w:val="FFFFFF"/>
                <w:sz w:val="17"/>
              </w:rPr>
              <w:t>Classification ROI</w:t>
              <w:tab/>
            </w:r>
            <w:r>
              <w:rPr>
                <w:color w:val="FFFFFF"/>
                <w:sz w:val="17"/>
              </w:rPr>
              <w:t>Moyen terme (4-10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calculées sur la base d'une consommation actuelle de 1,750,000 kWh/an de gaz, remplacée par une consommation électrique de 500,000 kWh/an pour la PAC, en tenant compte d'un COP de 3.5. Le différentiel de coût énergétique est estimé à 1,250,000 kWh/an, soit une réduction de 71% de la consommation initiale. Les hypothèses incluent un prix moyen du gaz à 0.08 €/kWh et de l'électricité à 0.12 €/kWh.</w:t>
            </w:r>
          </w:p>
          <w:p>
            <w:pPr>
              <w:spacing w:before="40" w:after="40"/>
              <w:ind w:left="170"/>
            </w:pPr>
            <w:r>
              <w:rPr>
                <w:b/>
                <w:color w:val="1F4E79"/>
                <w:sz w:val="17"/>
              </w:rPr>
              <w:t xml:space="preserve">Détail de l'investissement : </w:t>
            </w:r>
            <w:r>
              <w:rPr>
                <w:sz w:val="17"/>
              </w:rPr>
              <w:t>L'investissement estimé à 315,000 € comprend l'achat de la PAC (180,000 €), les travaux de génie civil et hydraulique (80,000 €), les études et la mise en service (35,000 €), ainsi qu'une marge pour aléas (20,000 €).</w:t>
            </w:r>
          </w:p>
          <w:p>
            <w:pPr>
              <w:spacing w:before="40" w:after="40"/>
              <w:ind w:left="170"/>
            </w:pPr>
            <w:r>
              <w:rPr>
                <w:b/>
                <w:color w:val="1F4E79"/>
                <w:sz w:val="17"/>
              </w:rPr>
              <w:t xml:space="preserve">Aides financières : </w:t>
            </w:r>
            <w:r>
              <w:rPr>
                <w:sz w:val="17"/>
              </w:rPr>
              <w:t>Cette action est éligible aux Certificats d'Économies d'Énergie (CEE) pour les solutions de pompes à chaleur collectives performantes. Elle peut également bénéficier du Fonds Chaleur de l'ADEME, dédié aux projets intégrant des énergies renouvelables thermiques. Les modalités précises d'éligibilité sont détaillées dans le tableau des fiches CEE du plan d'actions.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Le remplacement de la chaudière gaz par une PAC permettra d'éviter l'émission de 372,500 kg de CO₂ par an, soit une réduction de 71% des émissions liées au chauffage. Cette action améliorera également la performance énergétique globale du site et contribuera à l'atteinte des objectifs de décarbonation de l'entreprise.</w:t>
            </w:r>
          </w:p>
        </w:tc>
      </w:tr>
    </w:tbl>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4   </w:t>
            </w:r>
            <w:r>
              <w:rPr>
                <w:b/>
                <w:color w:val="FFFFFF"/>
                <w:sz w:val="24"/>
              </w:rPr>
              <w:t>RÉCUPÉRATION DE CHALEUR FATALE SUR LES FOURS À INDUCTION ABP INDUCTION IFM 2000 ET IFM 1000</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Process industriel  ·  Remplacement</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Les fours à induction ABP Induction IFM 2000 et IFM 1000, représentant une consommation annuelle de 5 400 000 kWh, rejettent une quantité significative de chaleur fatale non valorisée. Actuellement, cette énergie perdue n'est pas récupérée, ce qui entraîne une surconsommation énergétique et une inefficacité du processus industriel. L'absence de système de récupération limite également les possibilités de réutilisation de cette chaleur pour d'autres besoins internes, comme le préchauffage de l'air de combustion ou l'alimentation d'un réseau de chaleur.</w:t>
              <w:br/>
              <w:t>La préconisation consiste à installer un système de récupération de chaleur fatale sur les fours à induction, via un échangeur à plaques haute efficacité, par exemple en acier inoxydable pour résister aux températures élevées. Ce système permettra de capter la chaleur des fumées ou des circuits de refroidissement des fours pour préchauffer l'air de combustion ou alimenter un réseau de chaleur basse température. Les échangeurs seront dimensionnés pour s'adapter aux débits et températures des fours IFM 2000 (500 kW) et IFM 1000 (300 kW), avec une intégration optimisée pour minimiser les pertes de charge. Un système de régulation automatisé assurera une gestion dynamique des flux thermiques en fonction des besoins.</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se dérouleront en trois phases : une étude détaillée et dimensionnement (2 mois), l'approvisionnement et la fabrication des équipements (3 mois), puis l'installation et la mise en service (2 mois). Le délai total de mise en œuvre est estimé à 7 mois, incluant les tests de performance et la formation des équipes.</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37 152 €</w:t>
            </w:r>
          </w:p>
          <w:p>
            <w:pPr>
              <w:shd w:val="clear" w:color="auto" w:fill="EBF3FC"/>
              <w:tabs>
                <w:tab w:val="left" w:pos="1814"/>
              </w:tabs>
              <w:spacing w:before="30" w:after="30"/>
              <w:ind w:left="85"/>
            </w:pPr>
            <w:r>
              <w:rPr>
                <w:b/>
                <w:color w:val="1F4E79"/>
                <w:sz w:val="17"/>
              </w:rPr>
              <w:t>Gain annuel (kWh)</w:t>
              <w:tab/>
            </w:r>
            <w:r>
              <w:rPr>
                <w:color w:val="1F4E79"/>
                <w:sz w:val="17"/>
              </w:rPr>
              <w:t>432 000 kWh</w:t>
            </w:r>
          </w:p>
          <w:p>
            <w:pPr>
              <w:shd w:val="clear" w:color="auto" w:fill="1F4E79"/>
              <w:tabs>
                <w:tab w:val="left" w:pos="1814"/>
              </w:tabs>
              <w:spacing w:before="30" w:after="30"/>
              <w:ind w:left="85"/>
            </w:pPr>
            <w:r>
              <w:rPr>
                <w:b/>
                <w:color w:val="FFFFFF"/>
                <w:sz w:val="17"/>
              </w:rPr>
              <w:t>Investissement</w:t>
              <w:tab/>
            </w:r>
            <w:r>
              <w:rPr>
                <w:color w:val="FFFFFF"/>
                <w:sz w:val="17"/>
              </w:rPr>
              <w:t>300 000 €</w:t>
            </w:r>
          </w:p>
          <w:p>
            <w:pPr>
              <w:shd w:val="clear" w:color="auto" w:fill="EBF3FC"/>
              <w:tabs>
                <w:tab w:val="left" w:pos="1814"/>
              </w:tabs>
              <w:spacing w:before="30" w:after="30"/>
              <w:ind w:left="85"/>
            </w:pPr>
            <w:r>
              <w:rPr>
                <w:b/>
                <w:color w:val="1F4E79"/>
                <w:sz w:val="17"/>
              </w:rPr>
              <w:t>kWh cumac</w:t>
              <w:tab/>
            </w:r>
            <w:r>
              <w:rPr>
                <w:color w:val="1F4E79"/>
                <w:sz w:val="17"/>
              </w:rPr>
              <w:t>7 776 000</w:t>
            </w:r>
          </w:p>
          <w:p>
            <w:pPr>
              <w:shd w:val="clear" w:color="auto" w:fill="1F4E79"/>
              <w:tabs>
                <w:tab w:val="left" w:pos="1814"/>
              </w:tabs>
              <w:spacing w:before="30" w:after="30"/>
              <w:ind w:left="85"/>
            </w:pPr>
            <w:r>
              <w:rPr>
                <w:b/>
                <w:color w:val="FFFFFF"/>
                <w:sz w:val="17"/>
              </w:rPr>
              <w:t>Montant CEE (€)</w:t>
              <w:tab/>
            </w:r>
            <w:r>
              <w:rPr>
                <w:color w:val="FFFFFF"/>
                <w:sz w:val="17"/>
              </w:rPr>
              <w:t>38 880 €</w:t>
            </w:r>
          </w:p>
          <w:p>
            <w:pPr>
              <w:shd w:val="clear" w:color="auto" w:fill="EBF3FC"/>
              <w:tabs>
                <w:tab w:val="left" w:pos="1814"/>
              </w:tabs>
              <w:spacing w:before="30" w:after="30"/>
              <w:ind w:left="85"/>
            </w:pPr>
            <w:r>
              <w:rPr>
                <w:b/>
                <w:color w:val="1F4E79"/>
                <w:sz w:val="17"/>
              </w:rPr>
              <w:t>ROI</w:t>
              <w:tab/>
            </w:r>
            <w:r>
              <w:rPr>
                <w:color w:val="1F4E79"/>
                <w:sz w:val="17"/>
              </w:rPr>
              <w:t>8.1 ans</w:t>
            </w:r>
          </w:p>
          <w:p>
            <w:pPr>
              <w:shd w:val="clear" w:color="auto" w:fill="1F4E79"/>
              <w:tabs>
                <w:tab w:val="left" w:pos="1814"/>
              </w:tabs>
              <w:spacing w:before="30" w:after="30"/>
              <w:ind w:left="85"/>
            </w:pPr>
            <w:r>
              <w:rPr>
                <w:b/>
                <w:color w:val="FFFFFF"/>
                <w:sz w:val="17"/>
              </w:rPr>
              <w:t>Classification ROI</w:t>
              <w:tab/>
            </w:r>
            <w:r>
              <w:rPr>
                <w:color w:val="FFFFFF"/>
                <w:sz w:val="17"/>
              </w:rPr>
              <w:t>Moyen terme (4-10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estimées sur la base d'une réduction de 8% de la consommation énergétique des fours, soit 432 000 kWh/an. Ce taux repose sur des hypothèses de rendement de récupération de 60% pour l'échangeur, d'un taux d'utilisation annuel des fours de 90%, et d'une température de sortie des fumées de 300°C. Le calcul intègre également une valorisation de la chaleur récupérée pour des usages internes, évitant ainsi une consommation équivalente de gaz naturel ou d'électricité.</w:t>
            </w:r>
          </w:p>
          <w:p>
            <w:pPr>
              <w:spacing w:before="40" w:after="40"/>
              <w:ind w:left="170"/>
            </w:pPr>
            <w:r>
              <w:rPr>
                <w:b/>
                <w:color w:val="1F4E79"/>
                <w:sz w:val="17"/>
              </w:rPr>
              <w:t xml:space="preserve">Détail de l'investissement : </w:t>
            </w:r>
            <w:r>
              <w:rPr>
                <w:sz w:val="17"/>
              </w:rPr>
              <w:t>L'investissement estimé à 300 000 € comprend l'achat des échangeurs à plaques (120 000 €), les travaux de pose et d'intégration (100 000 €), ainsi que les études techniques et la mise en service (80 000 €). Ce coût inclut également les modifications nécessaires sur les circuits existants et la mise en place d'un système de régulation.</w:t>
            </w:r>
          </w:p>
          <w:p>
            <w:pPr>
              <w:spacing w:before="40" w:after="40"/>
              <w:ind w:left="170"/>
            </w:pPr>
            <w:r>
              <w:rPr>
                <w:b/>
                <w:color w:val="1F4E79"/>
                <w:sz w:val="17"/>
              </w:rPr>
              <w:t xml:space="preserve">Aides financières : </w:t>
            </w:r>
            <w:r>
              <w:rPr>
                <w:sz w:val="17"/>
              </w:rPr>
              <w:t>Cette action est éligible aux Certificats d'Économies d'Énergie (CEE) pour les systèmes de récupération de chaleur sur des équipements industriels, sous réserve de respecter les critères techniques définis par la fiche correspondante. Elle peut également bénéficier du Fonds Chaleur de l'ADEME, destiné à soutenir les projets de valorisation d'énergies renouvelables et de récupération de chaleur fatale dans l'industrie.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La récupération de chaleur fatale permettra une réduction annuelle d'environ 86 tonnes équivalent CO₂, en évitant la combustion de gaz naturel ou la consommation d'électricité pour produire une chaleur équivalente. Cette action améliorera également le bilan énergétique global du site, contribuant à une meilleure performance environnementale et à une optimisation du Diagnostic de Performance Énergétique (DPE) industriel.</w:t>
            </w:r>
          </w:p>
        </w:tc>
      </w:tr>
    </w:tbl>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5   </w:t>
            </w:r>
            <w:r>
              <w:rPr>
                <w:b/>
                <w:color w:val="FFFFFF"/>
                <w:sz w:val="24"/>
              </w:rPr>
              <w:t>OPTIMISATION DU GROUPE DE REFROIDISSEMENT CARRIER 30RBS 120 DANS LE HALL DE FUSION</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Climatisation / Froid  ·  Remplacement</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Le groupe de refroidissement Carrier 30RBS 120, situé dans le Hall de fusion, fonctionne actuellement sans système de régulation dynamique. Sa consommation annuelle atteint 680 000 kWh, soit près de 5% de la consommation totale du site, en raison d'un fonctionnement à pression fixe non optimisé. Cette absence d'adaptation aux besoins réels entraîne une surconsommation énergétique et une usure prématurée des composants.</w:t>
              <w:br/>
              <w:t>L'action consiste à installer un système de régulation électronique permettant une basse pression flottante sur le groupe de refroidissement Carrier 30RBS 120 (90 kW). Ce dispositif ajustera en temps réel la pression de condensation en fonction des conditions extérieures et des besoins thermiques, via des capteurs de température et de pression connectés à un automate programmable. Le matériel préconisé inclut un variateur de vitesse pour le compresseur, des vannes de régulation proportionnelle et un système de supervision pour le suivi des performances. La solution sera compatible avec l'existant et intégrera une interface de monitoring énergétique.</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seront réalisés en trois phases : 1. Études et préparation (1 mois), incluant la validation du dimensionnement et la commande des équipements, 2. Installation et mise en service (2 mois), avec arrêt technique du groupe pendant 10 jours, 3. Tests et réglages fins (1 mois), incluant la formation des opérateurs. Le délai total de mise en œuvre est estimé à 4 mois.</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5 847 €</w:t>
            </w:r>
          </w:p>
          <w:p>
            <w:pPr>
              <w:shd w:val="clear" w:color="auto" w:fill="EBF3FC"/>
              <w:tabs>
                <w:tab w:val="left" w:pos="1814"/>
              </w:tabs>
              <w:spacing w:before="30" w:after="30"/>
              <w:ind w:left="85"/>
            </w:pPr>
            <w:r>
              <w:rPr>
                <w:b/>
                <w:color w:val="1F4E79"/>
                <w:sz w:val="17"/>
              </w:rPr>
              <w:t>Gain annuel (kWh)</w:t>
              <w:tab/>
            </w:r>
            <w:r>
              <w:rPr>
                <w:color w:val="1F4E79"/>
                <w:sz w:val="17"/>
              </w:rPr>
              <w:t>68 000 kWh</w:t>
            </w:r>
          </w:p>
          <w:p>
            <w:pPr>
              <w:shd w:val="clear" w:color="auto" w:fill="1F4E79"/>
              <w:tabs>
                <w:tab w:val="left" w:pos="1814"/>
              </w:tabs>
              <w:spacing w:before="30" w:after="30"/>
              <w:ind w:left="85"/>
            </w:pPr>
            <w:r>
              <w:rPr>
                <w:b/>
                <w:color w:val="FFFFFF"/>
                <w:sz w:val="17"/>
              </w:rPr>
              <w:t>Investissement</w:t>
              <w:tab/>
            </w:r>
            <w:r>
              <w:rPr>
                <w:color w:val="FFFFFF"/>
                <w:sz w:val="17"/>
              </w:rPr>
              <w:t>50 000 €</w:t>
            </w:r>
          </w:p>
          <w:p>
            <w:pPr>
              <w:shd w:val="clear" w:color="auto" w:fill="EBF3FC"/>
              <w:tabs>
                <w:tab w:val="left" w:pos="1814"/>
              </w:tabs>
              <w:spacing w:before="30" w:after="30"/>
              <w:ind w:left="85"/>
            </w:pPr>
            <w:r>
              <w:rPr>
                <w:b/>
                <w:color w:val="1F4E79"/>
                <w:sz w:val="17"/>
              </w:rPr>
              <w:t>kWh cumac</w:t>
              <w:tab/>
            </w:r>
            <w:r>
              <w:rPr>
                <w:color w:val="1F4E79"/>
                <w:sz w:val="17"/>
              </w:rPr>
              <w:t>918 000</w:t>
            </w:r>
          </w:p>
          <w:p>
            <w:pPr>
              <w:shd w:val="clear" w:color="auto" w:fill="1F4E79"/>
              <w:tabs>
                <w:tab w:val="left" w:pos="1814"/>
              </w:tabs>
              <w:spacing w:before="30" w:after="30"/>
              <w:ind w:left="85"/>
            </w:pPr>
            <w:r>
              <w:rPr>
                <w:b/>
                <w:color w:val="FFFFFF"/>
                <w:sz w:val="17"/>
              </w:rPr>
              <w:t>Montant CEE (€)</w:t>
              <w:tab/>
            </w:r>
            <w:r>
              <w:rPr>
                <w:color w:val="FFFFFF"/>
                <w:sz w:val="17"/>
              </w:rPr>
              <w:t>4 590 €</w:t>
            </w:r>
          </w:p>
          <w:p>
            <w:pPr>
              <w:shd w:val="clear" w:color="auto" w:fill="EBF3FC"/>
              <w:tabs>
                <w:tab w:val="left" w:pos="1814"/>
              </w:tabs>
              <w:spacing w:before="30" w:after="30"/>
              <w:ind w:left="85"/>
            </w:pPr>
            <w:r>
              <w:rPr>
                <w:b/>
                <w:color w:val="1F4E79"/>
                <w:sz w:val="17"/>
              </w:rPr>
              <w:t>ROI</w:t>
              <w:tab/>
            </w:r>
            <w:r>
              <w:rPr>
                <w:color w:val="1F4E79"/>
                <w:sz w:val="17"/>
              </w:rPr>
              <w:t>8.6 ans</w:t>
            </w:r>
          </w:p>
          <w:p>
            <w:pPr>
              <w:shd w:val="clear" w:color="auto" w:fill="1F4E79"/>
              <w:tabs>
                <w:tab w:val="left" w:pos="1814"/>
              </w:tabs>
              <w:spacing w:before="30" w:after="30"/>
              <w:ind w:left="85"/>
            </w:pPr>
            <w:r>
              <w:rPr>
                <w:b/>
                <w:color w:val="FFFFFF"/>
                <w:sz w:val="17"/>
              </w:rPr>
              <w:t>Classification ROI</w:t>
              <w:tab/>
            </w:r>
            <w:r>
              <w:rPr>
                <w:color w:val="FFFFFF"/>
                <w:sz w:val="17"/>
              </w:rPr>
              <w:t>Moyen terme (4-10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estimées à 10% de la consommation actuelle du groupe, soit 68 000 kWh/an, en appliquant un coefficient de réduction moyen issu de retours d'expérience sur des installations similaires. Les hypothèses retenues incluent un fonctionnement annuel de 6 000 heures, un rendement saisonnier amélioré de 12% grâce à la régulation dynamique, et un coût moyen de l'électricité à 0,086 €/kWh. La méthode de calcul s'appuie sur la norme NF EN 12900 pour les performances des compresseurs frigorifiques.</w:t>
            </w:r>
          </w:p>
          <w:p>
            <w:pPr>
              <w:spacing w:before="40" w:after="40"/>
              <w:ind w:left="170"/>
            </w:pPr>
            <w:r>
              <w:rPr>
                <w:b/>
                <w:color w:val="1F4E79"/>
                <w:sz w:val="17"/>
              </w:rPr>
              <w:t xml:space="preserve">Détail de l'investissement : </w:t>
            </w:r>
            <w:r>
              <w:rPr>
                <w:sz w:val="17"/>
              </w:rPr>
              <w:t>L'investissement estimé à 50 000 € se décompose comme suit : 30 000 € pour les fournitures (variateur, capteurs, automate, vannes), 15 000 € pour la pose et la mise en service par un frigoriste qualifié, et 5 000 € pour les études préalables (audit technique, dimensionnement, plans d'exécution). Ce coût inclut la formation du personnel à la nouvelle régulation.</w:t>
            </w:r>
          </w:p>
          <w:p>
            <w:pPr>
              <w:spacing w:before="40" w:after="40"/>
              <w:ind w:left="170"/>
            </w:pPr>
            <w:r>
              <w:rPr>
                <w:b/>
                <w:color w:val="1F4E79"/>
                <w:sz w:val="17"/>
              </w:rPr>
              <w:t xml:space="preserve">Aides financières : </w:t>
            </w:r>
            <w:r>
              <w:rPr>
                <w:sz w:val="17"/>
              </w:rPr>
              <w:t>Cette action est éligible aux Certificats d'Économies d'Énergie, dans le cadre des opérations standardisées visant l'optimisation des systèmes de production de froid industriel. Le projet pourrait également bénéficier d'un soutien via le Fonds Chaleur de l'ADEME si couplé à une solution de récupération de chaleur fatale. Les modalités de financement dépendront du volume d'économies d'énergie généré et de la conformité aux critères techniques des fiches éligibles.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Cette optimisation permettra d'éviter l'émission de 4,2 tonnes de CO₂ par an, en réduisant la consommation électrique du groupe de 68 000 kWh. Elle contribuera également à améliorer l'efficacité énergétique globale du site, avec un impact positif sur son Diagnostic de Performance Énergétique. Par ailleurs, la régulation dynamique prolongera la durée de vie du groupe et réduira les risques de fuites de fluide frigorigène.</w:t>
            </w:r>
          </w:p>
        </w:tc>
      </w:tr>
    </w:tbl>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6   </w:t>
            </w:r>
            <w:r>
              <w:rPr>
                <w:b/>
                <w:color w:val="FFFFFF"/>
                <w:sz w:val="24"/>
              </w:rPr>
              <w:t>MISE EN PLACE D'UN SYSTÈME DE GESTION TECHNIQUE (GTB) POUR LES FOURS ET LE SYSTÈME D'ASPIRATION DU HALL DE FUSION</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Gestion technique (GTB/GTC)  ·  Remplacement</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L'audit énergétique a révélé un pilotage non optimisé des fours à induction et du système d'aspiration du Hall de fusion, représentant une consommation annuelle de 5,700,000 kWh. Actuellement, ces équipements fonctionnent sans régulation intelligente, entraînant des surconsommations estimées à 10% dues à des cycles de marche/arrêt non coordonnés et des températures non ajustées en temps réel. Les données terrain montrent un potentiel d'amélioration significatif via une gestion centralisée.</w:t>
              <w:br/>
              <w:t>La préconisation consiste à installer un système de Gestion Technique du Bâtiment (GTB) de type Siemens Desigo ou équivalent, couvrant les fours à induction ABP Induction IFM 2000 et IFM 1000 ainsi que le système d'aspiration Scheuch EcoAir 4500. Le système intégrera des capteurs de température, de débit et de pression, couplés à des algorithmes d'optimisation énergétique pour ajuster en temps réel les paramètres de fonctionnement. Les automates programmables (API) communiqueront via un protocole BACnet/IP, avec une interface supervisée pour le suivi des performances. Une formation des opérateurs sera incluse pour garantir une exploitation optimale.</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se dérouleront en trois phases : 1) Études et conception (3 mois), incluant la sélection des matériels et la rédaction des cahiers des charges ; 2) Installation et paramétrage (4 mois), avec tests unitaires et intégration progressive ; 3) Mise en service et formation (1 mois). Le délai total de mise en œuvre est estimé à 8 mois, sous réserve des validations administratives.</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49 019 €</w:t>
            </w:r>
          </w:p>
          <w:p>
            <w:pPr>
              <w:shd w:val="clear" w:color="auto" w:fill="EBF3FC"/>
              <w:tabs>
                <w:tab w:val="left" w:pos="1814"/>
              </w:tabs>
              <w:spacing w:before="30" w:after="30"/>
              <w:ind w:left="85"/>
            </w:pPr>
            <w:r>
              <w:rPr>
                <w:b/>
                <w:color w:val="1F4E79"/>
                <w:sz w:val="17"/>
              </w:rPr>
              <w:t>Gain annuel (kWh)</w:t>
              <w:tab/>
            </w:r>
            <w:r>
              <w:rPr>
                <w:color w:val="1F4E79"/>
                <w:sz w:val="17"/>
              </w:rPr>
              <w:t>570 000 kWh</w:t>
            </w:r>
          </w:p>
          <w:p>
            <w:pPr>
              <w:shd w:val="clear" w:color="auto" w:fill="1F4E79"/>
              <w:tabs>
                <w:tab w:val="left" w:pos="1814"/>
              </w:tabs>
              <w:spacing w:before="30" w:after="30"/>
              <w:ind w:left="85"/>
            </w:pPr>
            <w:r>
              <w:rPr>
                <w:b/>
                <w:color w:val="FFFFFF"/>
                <w:sz w:val="17"/>
              </w:rPr>
              <w:t>Investissement</w:t>
              <w:tab/>
            </w:r>
            <w:r>
              <w:rPr>
                <w:color w:val="FFFFFF"/>
                <w:sz w:val="17"/>
              </w:rPr>
              <w:t>600 000 €</w:t>
            </w:r>
          </w:p>
          <w:p>
            <w:pPr>
              <w:shd w:val="clear" w:color="auto" w:fill="EBF3FC"/>
              <w:tabs>
                <w:tab w:val="left" w:pos="1814"/>
              </w:tabs>
              <w:spacing w:before="30" w:after="30"/>
              <w:ind w:left="85"/>
            </w:pPr>
            <w:r>
              <w:rPr>
                <w:b/>
                <w:color w:val="1F4E79"/>
                <w:sz w:val="17"/>
              </w:rPr>
              <w:t>kWh cumac</w:t>
              <w:tab/>
            </w:r>
            <w:r>
              <w:rPr>
                <w:color w:val="1F4E79"/>
                <w:sz w:val="17"/>
              </w:rPr>
              <w:t>10 260 000</w:t>
            </w:r>
          </w:p>
          <w:p>
            <w:pPr>
              <w:shd w:val="clear" w:color="auto" w:fill="1F4E79"/>
              <w:tabs>
                <w:tab w:val="left" w:pos="1814"/>
              </w:tabs>
              <w:spacing w:before="30" w:after="30"/>
              <w:ind w:left="85"/>
            </w:pPr>
            <w:r>
              <w:rPr>
                <w:b/>
                <w:color w:val="FFFFFF"/>
                <w:sz w:val="17"/>
              </w:rPr>
              <w:t>Montant CEE (€)</w:t>
              <w:tab/>
            </w:r>
            <w:r>
              <w:rPr>
                <w:color w:val="FFFFFF"/>
                <w:sz w:val="17"/>
              </w:rPr>
              <w:t>51 300 €</w:t>
            </w:r>
          </w:p>
          <w:p>
            <w:pPr>
              <w:shd w:val="clear" w:color="auto" w:fill="EBF3FC"/>
              <w:tabs>
                <w:tab w:val="left" w:pos="1814"/>
              </w:tabs>
              <w:spacing w:before="30" w:after="30"/>
              <w:ind w:left="85"/>
            </w:pPr>
            <w:r>
              <w:rPr>
                <w:b/>
                <w:color w:val="1F4E79"/>
                <w:sz w:val="17"/>
              </w:rPr>
              <w:t>ROI</w:t>
              <w:tab/>
            </w:r>
            <w:r>
              <w:rPr>
                <w:color w:val="1F4E79"/>
                <w:sz w:val="17"/>
              </w:rPr>
              <w:t>12.2 ans</w:t>
            </w:r>
          </w:p>
          <w:p>
            <w:pPr>
              <w:shd w:val="clear" w:color="auto" w:fill="1F4E79"/>
              <w:tabs>
                <w:tab w:val="left" w:pos="1814"/>
              </w:tabs>
              <w:spacing w:before="30" w:after="30"/>
              <w:ind w:left="85"/>
            </w:pPr>
            <w:r>
              <w:rPr>
                <w:b/>
                <w:color w:val="FFFFFF"/>
                <w:sz w:val="17"/>
              </w:rPr>
              <w:t>Classification ROI</w:t>
              <w:tab/>
            </w:r>
            <w:r>
              <w:rPr>
                <w:color w:val="FFFFFF"/>
                <w:sz w:val="17"/>
              </w:rPr>
              <w:t>Long terme (≥ 10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estimées sur la base d'une réduction de 10% de la consommation des équipements ciblés, soit 570,000 kWh/an, en appliquant un coefficient de performance saisonnier (SPF) de 1.0 pour les fours et 0.9 pour l'aspiration. Les hypothèses retenues incluent un fonctionnement en régime stabilisé 8,000 h/an pour les fours et 7,000 h/an pour l'aspiration, avec un coût moyen de l'électricité à 0.086 €/kWh. Les données de consommation de référence proviennent des relevés terrain et des fiches techniques des équipements.</w:t>
            </w:r>
          </w:p>
          <w:p>
            <w:pPr>
              <w:spacing w:before="40" w:after="40"/>
              <w:ind w:left="170"/>
            </w:pPr>
            <w:r>
              <w:rPr>
                <w:b/>
                <w:color w:val="1F4E79"/>
                <w:sz w:val="17"/>
              </w:rPr>
              <w:t xml:space="preserve">Détail de l'investissement : </w:t>
            </w:r>
            <w:r>
              <w:rPr>
                <w:sz w:val="17"/>
              </w:rPr>
              <w:t>L'investissement estimé à 600,000 € se décompose comme suit : 400,000 € pour les fournitures (GTB, capteurs, automates, câblage), 150,000 € pour la pose et l'intégration par un prestataire certifié, et 50,000 € pour les études préalables (audit complémentaire, conception, formation). Les coûts incluent les tests de mise en service et la documentation technique.</w:t>
            </w:r>
          </w:p>
          <w:p>
            <w:pPr>
              <w:spacing w:before="40" w:after="40"/>
              <w:ind w:left="170"/>
            </w:pPr>
            <w:r>
              <w:rPr>
                <w:b/>
                <w:color w:val="1F4E79"/>
                <w:sz w:val="17"/>
              </w:rPr>
              <w:t xml:space="preserve">Aides financières : </w:t>
            </w:r>
            <w:r>
              <w:rPr>
                <w:sz w:val="17"/>
              </w:rPr>
              <w:t>Cette action est éligible aux Certificats d'Économies d'Énergie (CEE) au titre d'un système de gestion technique centralisée pour les usages énergétiques industriels. Le projet pourrait également bénéficier du Fonds Chaleur de l'ADEME si une intégration avec des énergies renouvelables thermiques était envisagée ultérieurement. Une étude de faisabilité complémentaire est recommandée pour préciser les montants accessibles.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La réduction de 570,000 kWh/an correspond à une économie de 42 tonnes équivalent CO₂ par an, basée sur un facteur d'émission de 0.074 kg CO₂/kWh (mix électrique français 2023). Cette action contribuera à améliorer le score énergétique du site, avec un impact positif sur le Diagnostic de Performance Énergétique (DPE) industriel. Bénéfices annexes : réduction des pics de consommation, allongement de la durée de vie des équipements et amélioration des conditions de travail via un pilotage optimisé.</w:t>
            </w:r>
          </w:p>
        </w:tc>
      </w:tr>
    </w:tbl>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7   </w:t>
            </w:r>
            <w:r>
              <w:rPr>
                <w:b/>
                <w:color w:val="FFFFFF"/>
                <w:sz w:val="24"/>
              </w:rPr>
              <w:t>REMPLACEMENT (VÉTUSTÉ) : CHAUDIÈRE GAZDE DIETRICH GT 330 (CHAUFFERIE)</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Chauffage</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La chaudière gaz De Dietrich GT 330, installée en 2004, présente une vétusté avancée après 22 ans de service. Son rendement énergétique est fortement dégradé, entraînant une surconsommation de gaz estimée à 15 % par rapport aux standards actuels. Ce dysfonctionnement génère un gaspillage énergétique significatif et des coûts opérationnels élevés pour le site.</w:t>
              <w:br/>
              <w:t>Remplacement de la chaudière gaz vétuste par un modèle neuf à condensation, de puissance adaptée (350 kW), conforme aux normes NF EN 15502 et ErP 2015. Le nouvel équipement intégrera un brûleur micromodulant pour optimiser la combustion et un système de régulation intelligent, permettant une modulation précise en fonction des besoins thermiques. Une isolation renforcée des conduits et une récupération de chaleur sur les fumées seront également mises en place pour maximiser l'efficacité énergétique.</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seront réalisés en trois phases : études et consultation des fournisseurs (2 mois), installation et mise en service (3 mois), suivi et optimisation post-installation (1 mois). Le délai total de mise en œuvre est estimé à 6 mois, avec un démarrage prévu après validation des devis et obtention des aides financières.</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22 575 €</w:t>
            </w:r>
          </w:p>
          <w:p>
            <w:pPr>
              <w:shd w:val="clear" w:color="auto" w:fill="EBF3FC"/>
              <w:tabs>
                <w:tab w:val="left" w:pos="1814"/>
              </w:tabs>
              <w:spacing w:before="30" w:after="30"/>
              <w:ind w:left="85"/>
            </w:pPr>
            <w:r>
              <w:rPr>
                <w:b/>
                <w:color w:val="1F4E79"/>
                <w:sz w:val="17"/>
              </w:rPr>
              <w:t>Gain annuel (kWh)</w:t>
              <w:tab/>
            </w:r>
            <w:r>
              <w:rPr>
                <w:color w:val="1F4E79"/>
                <w:sz w:val="17"/>
              </w:rPr>
              <w:t>262 500 kWh</w:t>
            </w:r>
          </w:p>
          <w:p>
            <w:pPr>
              <w:shd w:val="clear" w:color="auto" w:fill="1F4E79"/>
              <w:tabs>
                <w:tab w:val="left" w:pos="1814"/>
              </w:tabs>
              <w:spacing w:before="30" w:after="30"/>
              <w:ind w:left="85"/>
            </w:pPr>
            <w:r>
              <w:rPr>
                <w:b/>
                <w:color w:val="FFFFFF"/>
                <w:sz w:val="17"/>
              </w:rPr>
              <w:t>Investissement</w:t>
              <w:tab/>
            </w:r>
            <w:r>
              <w:rPr>
                <w:color w:val="FFFFFF"/>
                <w:sz w:val="17"/>
              </w:rPr>
              <w:t>315 000 €</w:t>
            </w:r>
          </w:p>
          <w:p>
            <w:pPr>
              <w:shd w:val="clear" w:color="auto" w:fill="EBF3FC"/>
              <w:tabs>
                <w:tab w:val="left" w:pos="1814"/>
              </w:tabs>
              <w:spacing w:before="30" w:after="30"/>
              <w:ind w:left="85"/>
            </w:pPr>
            <w:r>
              <w:rPr>
                <w:b/>
                <w:color w:val="1F4E79"/>
                <w:sz w:val="17"/>
              </w:rPr>
              <w:t>kWh cumac</w:t>
              <w:tab/>
            </w:r>
            <w:r>
              <w:rPr>
                <w:color w:val="1F4E79"/>
                <w:sz w:val="17"/>
              </w:rPr>
              <w:t>3 543 750</w:t>
            </w:r>
          </w:p>
          <w:p>
            <w:pPr>
              <w:shd w:val="clear" w:color="auto" w:fill="1F4E79"/>
              <w:tabs>
                <w:tab w:val="left" w:pos="1814"/>
              </w:tabs>
              <w:spacing w:before="30" w:after="30"/>
              <w:ind w:left="85"/>
            </w:pPr>
            <w:r>
              <w:rPr>
                <w:b/>
                <w:color w:val="FFFFFF"/>
                <w:sz w:val="17"/>
              </w:rPr>
              <w:t>Montant CEE (€)</w:t>
              <w:tab/>
            </w:r>
            <w:r>
              <w:rPr>
                <w:color w:val="FFFFFF"/>
                <w:sz w:val="17"/>
              </w:rPr>
              <w:t>17 718 €</w:t>
            </w:r>
          </w:p>
          <w:p>
            <w:pPr>
              <w:shd w:val="clear" w:color="auto" w:fill="EBF3FC"/>
              <w:tabs>
                <w:tab w:val="left" w:pos="1814"/>
              </w:tabs>
              <w:spacing w:before="30" w:after="30"/>
              <w:ind w:left="85"/>
            </w:pPr>
            <w:r>
              <w:rPr>
                <w:b/>
                <w:color w:val="1F4E79"/>
                <w:sz w:val="17"/>
              </w:rPr>
              <w:t>ROI</w:t>
              <w:tab/>
            </w:r>
            <w:r>
              <w:rPr>
                <w:color w:val="1F4E79"/>
                <w:sz w:val="17"/>
              </w:rPr>
              <w:t>14.0 ans</w:t>
            </w:r>
          </w:p>
          <w:p>
            <w:pPr>
              <w:shd w:val="clear" w:color="auto" w:fill="1F4E79"/>
              <w:tabs>
                <w:tab w:val="left" w:pos="1814"/>
              </w:tabs>
              <w:spacing w:before="30" w:after="30"/>
              <w:ind w:left="85"/>
            </w:pPr>
            <w:r>
              <w:rPr>
                <w:b/>
                <w:color w:val="FFFFFF"/>
                <w:sz w:val="17"/>
              </w:rPr>
              <w:t>Classification ROI</w:t>
              <w:tab/>
            </w:r>
            <w:r>
              <w:rPr>
                <w:color w:val="FFFFFF"/>
                <w:sz w:val="17"/>
              </w:rPr>
              <w:t>Long terme (≥ 10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estimées à partir d'un gain de rendement de 15 %, calculé sur la base de la consommation annuelle actuelle de la chaudière (1 750 000 kWh/an). Ce gain est validé par comparaison avec les performances des chaudières modernes à condensation, dont le rendement atteint 105 % sur PCI. Les hypothèses incluent un taux d'utilisation moyen de 80 % et des conditions climatiques représentatives de la région.</w:t>
            </w:r>
          </w:p>
          <w:p>
            <w:pPr>
              <w:spacing w:before="40" w:after="40"/>
              <w:ind w:left="170"/>
            </w:pPr>
            <w:r>
              <w:rPr>
                <w:b/>
                <w:color w:val="1F4E79"/>
                <w:sz w:val="17"/>
              </w:rPr>
              <w:t xml:space="preserve">Détail de l'investissement : </w:t>
            </w:r>
            <w:r>
              <w:rPr>
                <w:sz w:val="17"/>
              </w:rPr>
              <w:t>L'investissement comprend l'achat de la nouvelle chaudière à condensation (180 000 €), les travaux de pose et de raccordement (90 000 €), ainsi que les études techniques et la mise en service (45 000 €). Un budget complémentaire de 30 000 € est prévu pour les adaptations des réseaux et la formation des équipes.</w:t>
            </w:r>
          </w:p>
          <w:p>
            <w:pPr>
              <w:spacing w:before="40" w:after="40"/>
              <w:ind w:left="170"/>
            </w:pPr>
            <w:r>
              <w:rPr>
                <w:b/>
                <w:color w:val="1F4E79"/>
                <w:sz w:val="17"/>
              </w:rPr>
              <w:t xml:space="preserve">Aides financières : </w:t>
            </w:r>
            <w:r>
              <w:rPr>
                <w:sz w:val="17"/>
              </w:rPr>
              <w:t>Cette action est éligible aux Certificats d'Économies d'Énergie, sous réserve de respecter les critères techniques de performance énergétique définis par les fiches standardisées. Le projet peut également bénéficier du Fonds Chaleur de l'ADEME si une solution intégrant des énergies renouvelables est retenue, comme un couplage avec une pompe à chaleur ou un système solaire thermique.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La réduction de 262 500 kWh/an de gaz naturel permettra d'éviter l'émission de 52 tonnes de CO₂ par an, contribuant ainsi aux objectifs de décarbonation du site. Cette action améliorera également la performance énergétique globale du bâtiment, avec un impact positif sur son diagnostic de performance énergétique (DPE).</w:t>
            </w:r>
          </w:p>
        </w:tc>
      </w:tr>
    </w:tbl>
    <w:p>
      <w:r>
        <w:br w:type="page"/>
      </w:r>
    </w:p>
    <w:tbl>
      <w:tblPr>
        <w:tblStyle w:val="TableGrid"/>
        <w:tblW w:type="auto" w:w="0"/>
        <w:tblLook w:firstColumn="1" w:firstRow="1" w:lastColumn="0" w:lastRow="0" w:noHBand="0" w:noVBand="1" w:val="04A0"/>
        <w:tblW w:w="9072" w:type="dxa"/>
        <w:tblLayout w:type="fixed"/>
      </w:tblPr>
      <w:tblGrid>
        <w:gridCol w:w="4844"/>
        <w:gridCol w:w="4844"/>
      </w:tblGrid>
      <w:tr>
        <w:tc>
          <w:tcPr>
            <w:tcW w:type="dxa" w:w="9071"/>
            <w:gridSpan w:val="2"/>
            <w:shd w:val="clear" w:color="auto" w:fill="1F4E79"/>
          </w:tcPr>
          <w:p>
            <w:pPr>
              <w:spacing w:before="100" w:after="100"/>
              <w:ind w:left="170"/>
            </w:pPr>
            <w:r>
              <w:rPr>
                <w:b/>
                <w:color w:val="FFFFFF"/>
                <w:sz w:val="24"/>
              </w:rPr>
              <w:t xml:space="preserve">Action 8   </w:t>
            </w:r>
            <w:r>
              <w:rPr>
                <w:b/>
                <w:color w:val="FFFFFF"/>
                <w:sz w:val="24"/>
              </w:rPr>
              <w:t>REMPLACEMENT DU BRÛLEUR WEISHAUPT WG30N PAR UN MODÈLE MICROMODULANT DANS LA CHAUFFERIE</w:t>
            </w:r>
          </w:p>
        </w:tc>
      </w:tr>
      <w:tr>
        <w:tc>
          <w:tcPr>
            <w:tcW w:type="dxa" w:w="5386"/>
            <w:shd w:val="clear" w:color="auto" w:fill="D6E4F7"/>
          </w:tcPr>
          <w:p>
            <w:pPr>
              <w:spacing w:before="60" w:after="60"/>
              <w:ind w:left="170"/>
            </w:pPr>
            <w:r>
              <w:rPr>
                <w:b/>
                <w:color w:val="1F4E79"/>
                <w:sz w:val="18"/>
              </w:rPr>
              <w:t>Description technique</w:t>
            </w:r>
          </w:p>
        </w:tc>
        <w:tc>
          <w:tcPr>
            <w:tcW w:type="dxa" w:w="3685"/>
            <w:shd w:val="clear" w:color="auto" w:fill="D6E4F7"/>
          </w:tcPr>
          <w:p>
            <w:pPr>
              <w:spacing w:before="60" w:after="60"/>
            </w:pPr>
            <w:r>
              <w:rPr>
                <w:b/>
                <w:color w:val="1F4E79"/>
                <w:sz w:val="18"/>
              </w:rPr>
              <w:t>Chauffage  ·  Remplacement</w:t>
            </w:r>
          </w:p>
        </w:tc>
      </w:tr>
      <w:tr>
        <w:tc>
          <w:tcPr>
            <w:tcW w:type="dxa" w:w="9071"/>
            <w:gridSpan w:val="2"/>
          </w:tcPr>
          <w:p>
            <w:pPr>
              <w:spacing w:before="80"/>
              <w:ind w:left="170"/>
            </w:pPr>
            <w:r>
              <w:rPr>
                <w:b/>
                <w:color w:val="1F4E79"/>
                <w:sz w:val="18"/>
              </w:rPr>
              <w:t xml:space="preserve">Description de l'action : </w:t>
            </w:r>
          </w:p>
          <w:p>
            <w:pPr>
              <w:spacing w:before="40" w:after="80"/>
              <w:ind w:left="170"/>
            </w:pPr>
            <w:r>
              <w:rPr>
                <w:sz w:val="18"/>
              </w:rPr>
              <w:t>La chaufferie de la Fonderie Alumi-Test SA utilise actuellement un brûleur Weishaupt WG30N de 200 kW, consommant 900 000 kWh/an. Ce modèle, non micromodulant, présente un rendement limité et une régulation basique, entraînant des pertes énergétiques significatives. L'absence de modulation fine génère des cycles de marche/arrêt fréquents, réduisant l'efficacité globale du système de chauffage.</w:t>
              <w:br/>
              <w:t>Le remplacement du brûleur Weishaupt WG30N par un modèle micromodulant Weishaupt WG40N (ou équivalent) est préconisé. Ce nouveau brûleur, doté d'une régulation avancée (ex. modulation de 10 à 100% de la puissance), optimisera la combustion en ajustant précisément le débit de combustible aux besoins réels. L'installation inclura un système de contrôle intelligent pour synchroniser la production de chaleur avec la demande, réduisant les surconsommations. La compatibilité avec la chaudière existante sera vérifiée lors de l'étude technique préalable.</w:t>
            </w:r>
          </w:p>
        </w:tc>
      </w:tr>
      <w:tr>
        <w:tc>
          <w:tcPr>
            <w:tcW w:type="dxa" w:w="5386"/>
            <w:shd w:val="clear" w:color="auto" w:fill="D6E4F7"/>
          </w:tcPr>
          <w:p>
            <w:pPr>
              <w:spacing w:before="60" w:after="60"/>
              <w:ind w:left="170"/>
            </w:pPr>
            <w:r>
              <w:rPr>
                <w:b/>
                <w:color w:val="1F4E79"/>
                <w:sz w:val="18"/>
              </w:rPr>
              <w:t>Étapes de mise en œuvre</w:t>
            </w:r>
          </w:p>
        </w:tc>
        <w:tc>
          <w:tcPr>
            <w:tcW w:type="dxa" w:w="3685"/>
            <w:shd w:val="clear" w:color="auto" w:fill="D6E4F7"/>
          </w:tcPr>
          <w:p>
            <w:pPr>
              <w:spacing w:before="60" w:after="60"/>
            </w:pPr>
            <w:r>
              <w:rPr>
                <w:b/>
                <w:color w:val="1F4E79"/>
                <w:sz w:val="18"/>
              </w:rPr>
              <w:t>Données Économiques</w:t>
            </w:r>
          </w:p>
        </w:tc>
      </w:tr>
      <w:tr>
        <w:tc>
          <w:tcPr>
            <w:tcW w:type="dxa" w:w="5386"/>
          </w:tcPr>
          <w:p>
            <w:pPr>
              <w:spacing w:before="40" w:after="40"/>
              <w:ind w:left="170"/>
            </w:pPr>
            <w:r>
              <w:rPr>
                <w:sz w:val="17"/>
              </w:rPr>
              <w:t>1.  Les travaux se dérouleront en trois phases : étude technique et commande du matériel (2 mois), installation et mise en service (1 mois), puis période de réglage et optimisation (1 mois). Le délai total de mise en œuvre est estimé à 4 mois, avec une interruption minimale de la production.</w:t>
            </w:r>
          </w:p>
        </w:tc>
        <w:tc>
          <w:tcPr>
            <w:tcW w:type="dxa" w:w="3685"/>
          </w:tcPr>
          <w:p>
            <w:pPr>
              <w:shd w:val="clear" w:color="auto" w:fill="1F4E79"/>
              <w:tabs>
                <w:tab w:val="left" w:pos="1814"/>
              </w:tabs>
              <w:spacing w:before="30" w:after="30"/>
              <w:ind w:left="85"/>
            </w:pPr>
            <w:r>
              <w:rPr>
                <w:b/>
                <w:color w:val="FFFFFF"/>
                <w:sz w:val="17"/>
              </w:rPr>
              <w:t>Gain annuel (€)</w:t>
              <w:tab/>
            </w:r>
            <w:r>
              <w:rPr>
                <w:color w:val="FFFFFF"/>
                <w:sz w:val="17"/>
              </w:rPr>
              <w:t>3 869 €</w:t>
            </w:r>
          </w:p>
          <w:p>
            <w:pPr>
              <w:shd w:val="clear" w:color="auto" w:fill="EBF3FC"/>
              <w:tabs>
                <w:tab w:val="left" w:pos="1814"/>
              </w:tabs>
              <w:spacing w:before="30" w:after="30"/>
              <w:ind w:left="85"/>
            </w:pPr>
            <w:r>
              <w:rPr>
                <w:b/>
                <w:color w:val="1F4E79"/>
                <w:sz w:val="17"/>
              </w:rPr>
              <w:t>Gain annuel (kWh)</w:t>
              <w:tab/>
            </w:r>
            <w:r>
              <w:rPr>
                <w:color w:val="1F4E79"/>
                <w:sz w:val="17"/>
              </w:rPr>
              <w:t>45 000 kWh</w:t>
            </w:r>
          </w:p>
          <w:p>
            <w:pPr>
              <w:shd w:val="clear" w:color="auto" w:fill="1F4E79"/>
              <w:tabs>
                <w:tab w:val="left" w:pos="1814"/>
              </w:tabs>
              <w:spacing w:before="30" w:after="30"/>
              <w:ind w:left="85"/>
            </w:pPr>
            <w:r>
              <w:rPr>
                <w:b/>
                <w:color w:val="FFFFFF"/>
                <w:sz w:val="17"/>
              </w:rPr>
              <w:t>Investissement</w:t>
              <w:tab/>
            </w:r>
            <w:r>
              <w:rPr>
                <w:color w:val="FFFFFF"/>
                <w:sz w:val="17"/>
              </w:rPr>
              <w:t>60 000 €</w:t>
            </w:r>
          </w:p>
          <w:p>
            <w:pPr>
              <w:shd w:val="clear" w:color="auto" w:fill="EBF3FC"/>
              <w:tabs>
                <w:tab w:val="left" w:pos="1814"/>
              </w:tabs>
              <w:spacing w:before="30" w:after="30"/>
              <w:ind w:left="85"/>
            </w:pPr>
            <w:r>
              <w:rPr>
                <w:b/>
                <w:color w:val="1F4E79"/>
                <w:sz w:val="17"/>
              </w:rPr>
              <w:t>kWh cumac</w:t>
              <w:tab/>
            </w:r>
            <w:r>
              <w:rPr>
                <w:color w:val="1F4E79"/>
                <w:sz w:val="17"/>
              </w:rPr>
              <w:t>607 500</w:t>
            </w:r>
          </w:p>
          <w:p>
            <w:pPr>
              <w:shd w:val="clear" w:color="auto" w:fill="1F4E79"/>
              <w:tabs>
                <w:tab w:val="left" w:pos="1814"/>
              </w:tabs>
              <w:spacing w:before="30" w:after="30"/>
              <w:ind w:left="85"/>
            </w:pPr>
            <w:r>
              <w:rPr>
                <w:b/>
                <w:color w:val="FFFFFF"/>
                <w:sz w:val="17"/>
              </w:rPr>
              <w:t>Montant CEE (€)</w:t>
              <w:tab/>
            </w:r>
            <w:r>
              <w:rPr>
                <w:color w:val="FFFFFF"/>
                <w:sz w:val="17"/>
              </w:rPr>
              <w:t>3 037 €</w:t>
            </w:r>
          </w:p>
          <w:p>
            <w:pPr>
              <w:shd w:val="clear" w:color="auto" w:fill="EBF3FC"/>
              <w:tabs>
                <w:tab w:val="left" w:pos="1814"/>
              </w:tabs>
              <w:spacing w:before="30" w:after="30"/>
              <w:ind w:left="85"/>
            </w:pPr>
            <w:r>
              <w:rPr>
                <w:b/>
                <w:color w:val="1F4E79"/>
                <w:sz w:val="17"/>
              </w:rPr>
              <w:t>ROI</w:t>
              <w:tab/>
            </w:r>
            <w:r>
              <w:rPr>
                <w:color w:val="1F4E79"/>
                <w:sz w:val="17"/>
              </w:rPr>
              <w:t>15.5 ans</w:t>
            </w:r>
          </w:p>
          <w:p>
            <w:pPr>
              <w:shd w:val="clear" w:color="auto" w:fill="1F4E79"/>
              <w:tabs>
                <w:tab w:val="left" w:pos="1814"/>
              </w:tabs>
              <w:spacing w:before="30" w:after="30"/>
              <w:ind w:left="85"/>
            </w:pPr>
            <w:r>
              <w:rPr>
                <w:b/>
                <w:color w:val="FFFFFF"/>
                <w:sz w:val="17"/>
              </w:rPr>
              <w:t>Classification ROI</w:t>
              <w:tab/>
            </w:r>
            <w:r>
              <w:rPr>
                <w:color w:val="FFFFFF"/>
                <w:sz w:val="17"/>
              </w:rPr>
              <w:t>Long terme (≥ 10 ans)</w:t>
            </w:r>
          </w:p>
        </w:tc>
      </w:tr>
      <w:tr>
        <w:tc>
          <w:tcPr>
            <w:tcW w:type="dxa" w:w="9071"/>
            <w:gridSpan w:val="2"/>
            <w:shd w:val="clear" w:color="auto" w:fill="F5F5F5"/>
          </w:tcPr>
          <w:p>
            <w:pPr>
              <w:spacing w:before="60" w:after="40"/>
              <w:ind w:left="170"/>
            </w:pPr>
            <w:r>
              <w:rPr>
                <w:b/>
                <w:color w:val="1F4E79"/>
                <w:sz w:val="17"/>
              </w:rPr>
              <w:t xml:space="preserve">Calcul des économies : </w:t>
            </w:r>
            <w:r>
              <w:rPr>
                <w:sz w:val="17"/>
              </w:rPr>
              <w:t>Les économies sont estimées à 5% de la consommation annuelle du brûleur, soit 45 000 kWh/an, en comparant le rendement du nouveau brûleur (95%) à celui de l'ancien (90%). Cette hypothèse repose sur des données constructeur et une utilisation moyenne de 4 500 h/an. Le coût énergétique est calculé sur la base d'un prix moyen de l'énergie de 0,086 €/kWh (tarif industriel 2023).</w:t>
            </w:r>
          </w:p>
          <w:p>
            <w:pPr>
              <w:spacing w:before="40" w:after="40"/>
              <w:ind w:left="170"/>
            </w:pPr>
            <w:r>
              <w:rPr>
                <w:b/>
                <w:color w:val="1F4E79"/>
                <w:sz w:val="17"/>
              </w:rPr>
              <w:t xml:space="preserve">Détail de l'investissement : </w:t>
            </w:r>
            <w:r>
              <w:rPr>
                <w:sz w:val="17"/>
              </w:rPr>
              <w:t>L'investissement total est estimé à 60 000 €, incluant 45 000 € pour le brûleur micromodulant et son système de régulation, 10 000 € pour la pose et les adaptations techniques, et 5 000 € pour l'étude de faisabilité et le commissioning.</w:t>
            </w:r>
          </w:p>
          <w:p>
            <w:pPr>
              <w:spacing w:before="40" w:after="40"/>
              <w:ind w:left="170"/>
            </w:pPr>
            <w:r>
              <w:rPr>
                <w:b/>
                <w:color w:val="1F4E79"/>
                <w:sz w:val="17"/>
              </w:rPr>
              <w:t xml:space="preserve">Aides financières : </w:t>
            </w:r>
            <w:r>
              <w:rPr>
                <w:sz w:val="17"/>
              </w:rPr>
              <w:t>Cette action est éligible aux Certificats d'Économies d'Énergie (CEE) pour les équipements industriels améliorant l'efficacité énergétique des systèmes de chauffage. Un soutien via le Fonds Chaleur de l'ADEME pourrait également être envisagé si le projet intègre des solutions renouvelables complémentaires. Éligibilité CEE et montant final à confirmer auprès d'un obligé habilité (Certinergy, Hellio, Sonergia, GreenYellow, etc.).</w:t>
            </w:r>
          </w:p>
          <w:p>
            <w:pPr>
              <w:spacing w:before="40" w:after="40"/>
              <w:ind w:left="170"/>
            </w:pPr>
            <w:r>
              <w:rPr>
                <w:b/>
                <w:color w:val="1F4E79"/>
                <w:sz w:val="17"/>
              </w:rPr>
              <w:t xml:space="preserve">Impact environnemental : </w:t>
            </w:r>
            <w:r>
              <w:rPr>
                <w:sz w:val="17"/>
              </w:rPr>
              <w:t>La réduction de 45 000 kWh/an équivaut à une baisse d'environ 9 tonnes de CO₂ (facteur d'émission de 0,2 kg CO₂/kWh pour le gaz naturel). Ce projet améliore également la performance énergétique globale du site, contribuant à un meilleur classement DPE industriel et réduisant l'empreinte carbone des activités de fonderie.</w:t>
            </w:r>
          </w:p>
        </w:tc>
      </w:tr>
    </w:tbl>
    <w:p>
      <w:r>
        <w:br w:type="page"/>
      </w:r>
    </w:p>
    <w:p>
      <w:pPr>
        <w:spacing w:before="0" w:after="80"/>
        <w:pBdr>
          <w:left w:val="single" w:sz="24" w:space="4" w:color="1F4E79"/>
        </w:pBdr>
        <w:shd w:val="clear" w:color="auto" w:fill="EBF3FA"/>
      </w:pPr>
      <w:r>
        <w:rPr>
          <w:b/>
          <w:color w:val="FFFFFF"/>
          <w:sz w:val="26"/>
          <w:shd w:val="clear" w:color="auto" w:fill="1F4E79"/>
        </w:rPr>
        <w:t xml:space="preserve">  15.  </w:t>
      </w:r>
      <w:r>
        <w:rPr>
          <w:b/>
          <w:color w:val="1F4E79"/>
          <w:sz w:val="26"/>
        </w:rPr>
        <w:t xml:space="preserve"> Scénario d'électrification</w:t>
      </w:r>
    </w:p>
    <w:p>
      <w:pPr>
        <w:spacing w:after="120"/>
      </w:pPr>
      <w:r>
        <w:rPr>
          <w:color w:val="555555"/>
          <w:sz w:val="20"/>
        </w:rPr>
        <w:t>Ce scénario analyse le potentiel de substitution des équipements à énergie thermique (gaz, fioul, GPL) par des alternatives électriques (pompes à chaleur, résistances électriques). Les calculs utilisent les facteurs d'émission France : gaz 230 g/kWh, fioul 300 g/kWh, GPL 270 g/kWh, électricité 60 g/kWh.</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Équipements éligibles</w:t>
            </w:r>
          </w:p>
          <w:p>
            <w:pPr>
              <w:spacing w:before="0" w:after="40"/>
              <w:ind w:left="120"/>
            </w:pPr>
            <w:r>
              <w:rPr>
                <w:b/>
                <w:color w:val="1F4E79"/>
                <w:sz w:val="30"/>
              </w:rPr>
              <w:t>5</w:t>
            </w:r>
          </w:p>
        </w:tc>
        <w:tc>
          <w:tcPr>
            <w:tcW w:type="dxa" w:w="2422"/>
            <w:shd w:val="clear" w:color="auto" w:fill="EBF3FA"/>
            <w:tcBdr>
              <w:top w:val="single" w:sz="12" w:color="2E5F8A"/>
            </w:tcBdr>
          </w:tcPr>
          <w:p>
            <w:pPr>
              <w:spacing w:before="80" w:after="0"/>
              <w:ind w:left="120"/>
            </w:pPr>
            <w:r>
              <w:rPr>
                <w:color w:val="555555"/>
                <w:sz w:val="16"/>
              </w:rPr>
              <w:t>Économie énergie</w:t>
            </w:r>
          </w:p>
          <w:p>
            <w:pPr>
              <w:spacing w:before="0" w:after="40"/>
              <w:ind w:left="120"/>
            </w:pPr>
            <w:r>
              <w:rPr>
                <w:b/>
                <w:color w:val="2E5F8A"/>
                <w:sz w:val="30"/>
              </w:rPr>
              <w:t>1 250 000</w:t>
            </w:r>
            <w:r>
              <w:rPr>
                <w:color w:val="555555"/>
                <w:sz w:val="16"/>
              </w:rPr>
              <w:t xml:space="preserve"> kWh/an</w:t>
            </w:r>
          </w:p>
        </w:tc>
        <w:tc>
          <w:tcPr>
            <w:tcW w:type="dxa" w:w="2422"/>
            <w:shd w:val="clear" w:color="auto" w:fill="EBF3FA"/>
            <w:tcBdr>
              <w:top w:val="single" w:sz="12" w:color="1A7A45"/>
            </w:tcBdr>
          </w:tcPr>
          <w:p>
            <w:pPr>
              <w:spacing w:before="80" w:after="0"/>
              <w:ind w:left="120"/>
            </w:pPr>
            <w:r>
              <w:rPr>
                <w:color w:val="555555"/>
                <w:sz w:val="16"/>
              </w:rPr>
              <w:t>Économie financière</w:t>
            </w:r>
          </w:p>
          <w:p>
            <w:pPr>
              <w:spacing w:before="0" w:after="40"/>
              <w:ind w:left="120"/>
            </w:pPr>
            <w:r>
              <w:rPr>
                <w:b/>
                <w:color w:val="1A7A45"/>
                <w:sz w:val="30"/>
              </w:rPr>
              <w:t>-101 180</w:t>
            </w:r>
            <w:r>
              <w:rPr>
                <w:color w:val="555555"/>
                <w:sz w:val="16"/>
              </w:rPr>
              <w:t xml:space="preserve"> €/an</w:t>
            </w:r>
          </w:p>
        </w:tc>
        <w:tc>
          <w:tcPr>
            <w:tcW w:type="dxa" w:w="2422"/>
            <w:shd w:val="clear" w:color="auto" w:fill="EBF3FA"/>
            <w:tcBdr>
              <w:top w:val="single" w:sz="12" w:color="1A7A45"/>
            </w:tcBdr>
          </w:tcPr>
          <w:p>
            <w:pPr>
              <w:spacing w:before="80" w:after="0"/>
              <w:ind w:left="120"/>
            </w:pPr>
            <w:r>
              <w:rPr>
                <w:color w:val="555555"/>
                <w:sz w:val="16"/>
              </w:rPr>
              <w:t>CO₂ évité</w:t>
            </w:r>
          </w:p>
          <w:p>
            <w:pPr>
              <w:spacing w:before="0" w:after="40"/>
              <w:ind w:left="120"/>
            </w:pPr>
            <w:r>
              <w:rPr>
                <w:b/>
                <w:color w:val="1A7A45"/>
                <w:sz w:val="30"/>
              </w:rPr>
              <w:t>776,1</w:t>
            </w:r>
            <w:r>
              <w:rPr>
                <w:color w:val="555555"/>
                <w:sz w:val="16"/>
              </w:rPr>
              <w:t xml:space="preserve"> t CO₂/an</w:t>
            </w:r>
          </w:p>
        </w:tc>
      </w:tr>
    </w:tbl>
    <w:p>
      <w:pPr>
        <w:spacing w:after="80"/>
      </w:pPr>
    </w:p>
    <w:tbl>
      <w:tblPr>
        <w:tblStyle w:val="TableGrid"/>
        <w:tblW w:type="auto" w:w="0"/>
        <w:tblLook w:firstColumn="1" w:firstRow="1" w:lastColumn="0" w:lastRow="0" w:noHBand="0" w:noVBand="1" w:val="04A0"/>
        <w:tblW w:w="8789" w:type="dxa"/>
        <w:tblLayout w:type="fixed"/>
      </w:tblPr>
      <w:tblGrid>
        <w:gridCol w:w="969"/>
        <w:gridCol w:w="969"/>
        <w:gridCol w:w="969"/>
        <w:gridCol w:w="969"/>
        <w:gridCol w:w="969"/>
        <w:gridCol w:w="969"/>
        <w:gridCol w:w="969"/>
        <w:gridCol w:w="969"/>
        <w:gridCol w:w="969"/>
        <w:gridCol w:w="969"/>
      </w:tblGrid>
      <w:tr>
        <w:tc>
          <w:tcPr>
            <w:tcW w:type="dxa" w:w="227"/>
            <w:shd w:val="clear" w:color="auto" w:fill="1F4E79"/>
          </w:tcPr>
          <w:p>
            <w:pPr>
              <w:jc w:val="center"/>
            </w:pPr>
            <w:r>
              <w:rPr>
                <w:b/>
                <w:color w:val="FFFFFF"/>
                <w:sz w:val="14"/>
              </w:rPr>
              <w:t>#</w:t>
            </w:r>
          </w:p>
        </w:tc>
        <w:tc>
          <w:tcPr>
            <w:tcW w:type="dxa" w:w="1417"/>
            <w:shd w:val="clear" w:color="auto" w:fill="1F4E79"/>
          </w:tcPr>
          <w:p>
            <w:pPr>
              <w:jc w:val="center"/>
            </w:pPr>
            <w:r>
              <w:rPr>
                <w:b/>
                <w:color w:val="FFFFFF"/>
                <w:sz w:val="14"/>
              </w:rPr>
              <w:t>Équipement</w:t>
            </w:r>
          </w:p>
        </w:tc>
        <w:tc>
          <w:tcPr>
            <w:tcW w:type="dxa" w:w="850"/>
            <w:shd w:val="clear" w:color="auto" w:fill="1F4E79"/>
          </w:tcPr>
          <w:p>
            <w:pPr>
              <w:jc w:val="center"/>
            </w:pPr>
            <w:r>
              <w:rPr>
                <w:b/>
                <w:color w:val="FFFFFF"/>
                <w:sz w:val="14"/>
              </w:rPr>
              <w:t>Zone</w:t>
            </w:r>
          </w:p>
        </w:tc>
        <w:tc>
          <w:tcPr>
            <w:tcW w:type="dxa" w:w="680"/>
            <w:shd w:val="clear" w:color="auto" w:fill="1F4E79"/>
          </w:tcPr>
          <w:p>
            <w:pPr>
              <w:jc w:val="center"/>
            </w:pPr>
            <w:r>
              <w:rPr>
                <w:b/>
                <w:color w:val="FFFFFF"/>
                <w:sz w:val="14"/>
              </w:rPr>
              <w:t>Vecteur</w:t>
            </w:r>
          </w:p>
        </w:tc>
        <w:tc>
          <w:tcPr>
            <w:tcW w:type="dxa" w:w="850"/>
            <w:shd w:val="clear" w:color="auto" w:fill="1F4E79"/>
          </w:tcPr>
          <w:p>
            <w:pPr>
              <w:jc w:val="center"/>
            </w:pPr>
            <w:r>
              <w:rPr>
                <w:b/>
                <w:color w:val="FFFFFF"/>
                <w:sz w:val="14"/>
              </w:rPr>
              <w:t>Conso actuelle</w:t>
            </w:r>
          </w:p>
        </w:tc>
        <w:tc>
          <w:tcPr>
            <w:tcW w:type="dxa" w:w="850"/>
            <w:shd w:val="clear" w:color="auto" w:fill="1F4E79"/>
          </w:tcPr>
          <w:p>
            <w:pPr>
              <w:jc w:val="center"/>
            </w:pPr>
            <w:r>
              <w:rPr>
                <w:b/>
                <w:color w:val="FFFFFF"/>
                <w:sz w:val="14"/>
              </w:rPr>
              <w:t>Conso élec</w:t>
            </w:r>
          </w:p>
        </w:tc>
        <w:tc>
          <w:tcPr>
            <w:tcW w:type="dxa" w:w="850"/>
            <w:shd w:val="clear" w:color="auto" w:fill="1F4E79"/>
          </w:tcPr>
          <w:p>
            <w:pPr>
              <w:jc w:val="center"/>
            </w:pPr>
            <w:r>
              <w:rPr>
                <w:b/>
                <w:color w:val="FFFFFF"/>
                <w:sz w:val="14"/>
              </w:rPr>
              <w:t>Éco kWh</w:t>
            </w:r>
          </w:p>
        </w:tc>
        <w:tc>
          <w:tcPr>
            <w:tcW w:type="dxa" w:w="850"/>
            <w:shd w:val="clear" w:color="auto" w:fill="1F4E79"/>
          </w:tcPr>
          <w:p>
            <w:pPr>
              <w:jc w:val="center"/>
            </w:pPr>
            <w:r>
              <w:rPr>
                <w:b/>
                <w:color w:val="FFFFFF"/>
                <w:sz w:val="14"/>
              </w:rPr>
              <w:t>Éco €</w:t>
            </w:r>
          </w:p>
        </w:tc>
        <w:tc>
          <w:tcPr>
            <w:tcW w:type="dxa" w:w="794"/>
            <w:shd w:val="clear" w:color="auto" w:fill="1F4E79"/>
          </w:tcPr>
          <w:p>
            <w:pPr>
              <w:jc w:val="center"/>
            </w:pPr>
            <w:r>
              <w:rPr>
                <w:b/>
                <w:color w:val="FFFFFF"/>
                <w:sz w:val="14"/>
              </w:rPr>
              <w:t>CO₂ évité</w:t>
            </w:r>
          </w:p>
        </w:tc>
        <w:tc>
          <w:tcPr>
            <w:tcW w:type="dxa" w:w="1417"/>
            <w:shd w:val="clear" w:color="auto" w:fill="1F4E79"/>
          </w:tcPr>
          <w:p>
            <w:pPr>
              <w:jc w:val="center"/>
            </w:pPr>
            <w:r>
              <w:rPr>
                <w:b/>
                <w:color w:val="FFFFFF"/>
                <w:sz w:val="14"/>
              </w:rPr>
              <w:t>Invest. estimé</w:t>
            </w:r>
          </w:p>
        </w:tc>
      </w:tr>
      <w:tr>
        <w:tc>
          <w:tcPr>
            <w:tcW w:type="dxa" w:w="227"/>
            <w:shd w:val="clear" w:color="auto" w:fill="FFFFFF"/>
          </w:tcPr>
          <w:p>
            <w:pPr>
              <w:jc w:val="center"/>
            </w:pPr>
            <w:r>
              <w:rPr>
                <w:sz w:val="14"/>
              </w:rPr>
              <w:t>1</w:t>
            </w:r>
          </w:p>
        </w:tc>
        <w:tc>
          <w:tcPr>
            <w:tcW w:type="dxa" w:w="1417"/>
            <w:shd w:val="clear" w:color="auto" w:fill="FFFFFF"/>
          </w:tcPr>
          <w:p>
            <w:pPr>
              <w:spacing w:before="20" w:after="0"/>
            </w:pPr>
            <w:r>
              <w:rPr>
                <w:b/>
                <w:sz w:val="16"/>
              </w:rPr>
              <w:t>Chaudière gaz</w:t>
            </w:r>
          </w:p>
          <w:p>
            <w:pPr>
              <w:spacing w:before="0" w:after="20"/>
            </w:pPr>
            <w:r>
              <w:rPr>
                <w:i/>
                <w:color w:val="555555"/>
                <w:sz w:val="14"/>
              </w:rPr>
              <w:t>De Dietrich GT 330</w:t>
            </w:r>
          </w:p>
        </w:tc>
        <w:tc>
          <w:tcPr>
            <w:tcW w:type="dxa" w:w="850"/>
            <w:shd w:val="clear" w:color="auto" w:fill="FFFFFF"/>
          </w:tcPr>
          <w:p>
            <w:pPr>
              <w:jc w:val="center"/>
            </w:pPr>
            <w:r>
              <w:rPr>
                <w:sz w:val="14"/>
              </w:rPr>
              <w:t>Chaufferie</w:t>
            </w:r>
          </w:p>
        </w:tc>
        <w:tc>
          <w:tcPr>
            <w:tcW w:type="dxa" w:w="680"/>
            <w:shd w:val="clear" w:color="auto" w:fill="FFFFFF"/>
          </w:tcPr>
          <w:p>
            <w:pPr>
              <w:jc w:val="center"/>
            </w:pPr>
            <w:r>
              <w:rPr>
                <w:sz w:val="14"/>
              </w:rPr>
              <w:t>Gaz</w:t>
            </w:r>
          </w:p>
        </w:tc>
        <w:tc>
          <w:tcPr>
            <w:tcW w:type="dxa" w:w="850"/>
            <w:shd w:val="clear" w:color="auto" w:fill="FFFFFF"/>
          </w:tcPr>
          <w:p>
            <w:pPr>
              <w:jc w:val="center"/>
            </w:pPr>
            <w:r>
              <w:rPr>
                <w:sz w:val="14"/>
              </w:rPr>
              <w:t>1 750 000 kWh</w:t>
            </w:r>
          </w:p>
        </w:tc>
        <w:tc>
          <w:tcPr>
            <w:tcW w:type="dxa" w:w="850"/>
            <w:shd w:val="clear" w:color="auto" w:fill="FFFFFF"/>
          </w:tcPr>
          <w:p>
            <w:pPr>
              <w:spacing w:before="20" w:after="0"/>
              <w:jc w:val="center"/>
            </w:pPr>
            <w:r>
              <w:rPr>
                <w:sz w:val="14"/>
              </w:rPr>
              <w:t>500 000 kWh</w:t>
            </w:r>
          </w:p>
          <w:p>
            <w:pPr>
              <w:spacing w:before="0" w:after="20"/>
              <w:jc w:val="center"/>
            </w:pPr>
            <w:r>
              <w:rPr>
                <w:i/>
                <w:color w:val="555555"/>
                <w:sz w:val="14"/>
              </w:rPr>
              <w:t>(COP 3.5)</w:t>
            </w:r>
          </w:p>
        </w:tc>
        <w:tc>
          <w:tcPr>
            <w:tcW w:type="dxa" w:w="850"/>
            <w:shd w:val="clear" w:color="auto" w:fill="FFFFFF"/>
          </w:tcPr>
          <w:p>
            <w:pPr>
              <w:jc w:val="center"/>
            </w:pPr>
            <w:r>
              <w:rPr>
                <w:color w:val="1A7A45"/>
                <w:sz w:val="14"/>
              </w:rPr>
              <w:t>1 250 000</w:t>
            </w:r>
          </w:p>
        </w:tc>
        <w:tc>
          <w:tcPr>
            <w:tcW w:type="dxa" w:w="850"/>
            <w:shd w:val="clear" w:color="auto" w:fill="FFFFFF"/>
          </w:tcPr>
          <w:p>
            <w:pPr>
              <w:jc w:val="center"/>
            </w:pPr>
            <w:r>
              <w:rPr>
                <w:color w:val="1A7A45"/>
                <w:sz w:val="14"/>
              </w:rPr>
              <w:t>65 000 €</w:t>
            </w:r>
          </w:p>
        </w:tc>
        <w:tc>
          <w:tcPr>
            <w:tcW w:type="dxa" w:w="794"/>
            <w:shd w:val="clear" w:color="auto" w:fill="FFFFFF"/>
          </w:tcPr>
          <w:p>
            <w:pPr>
              <w:jc w:val="center"/>
            </w:pPr>
            <w:r>
              <w:rPr>
                <w:sz w:val="14"/>
              </w:rPr>
              <w:t>372 500 kg</w:t>
            </w:r>
          </w:p>
        </w:tc>
        <w:tc>
          <w:tcPr>
            <w:tcW w:type="dxa" w:w="1417"/>
            <w:shd w:val="clear" w:color="auto" w:fill="FFFFFF"/>
          </w:tcPr>
          <w:p>
            <w:pPr>
              <w:jc w:val="center"/>
            </w:pPr>
            <w:r>
              <w:rPr>
                <w:sz w:val="14"/>
              </w:rPr>
              <w:t>210 000 — 420 000 €</w:t>
            </w:r>
          </w:p>
        </w:tc>
      </w:tr>
      <w:tr>
        <w:tc>
          <w:tcPr>
            <w:tcW w:type="dxa" w:w="227"/>
            <w:shd w:val="clear" w:color="auto" w:fill="EBF3FA"/>
          </w:tcPr>
          <w:p>
            <w:pPr>
              <w:jc w:val="center"/>
            </w:pPr>
            <w:r>
              <w:rPr>
                <w:sz w:val="14"/>
              </w:rPr>
              <w:t>2</w:t>
            </w:r>
          </w:p>
        </w:tc>
        <w:tc>
          <w:tcPr>
            <w:tcW w:type="dxa" w:w="1417"/>
            <w:shd w:val="clear" w:color="auto" w:fill="EBF3FA"/>
          </w:tcPr>
          <w:p>
            <w:pPr>
              <w:spacing w:before="20" w:after="0"/>
            </w:pPr>
            <w:r>
              <w:rPr>
                <w:b/>
                <w:sz w:val="16"/>
              </w:rPr>
              <w:t>Four de remise en température gaz</w:t>
            </w:r>
          </w:p>
          <w:p>
            <w:pPr>
              <w:spacing w:before="0" w:after="20"/>
            </w:pPr>
            <w:r>
              <w:rPr>
                <w:i/>
                <w:color w:val="555555"/>
                <w:sz w:val="14"/>
              </w:rPr>
              <w:t>Rational SCC 61G</w:t>
            </w:r>
          </w:p>
        </w:tc>
        <w:tc>
          <w:tcPr>
            <w:tcW w:type="dxa" w:w="850"/>
            <w:shd w:val="clear" w:color="auto" w:fill="EBF3FA"/>
          </w:tcPr>
          <w:p>
            <w:pPr>
              <w:jc w:val="center"/>
            </w:pPr>
            <w:r>
              <w:rPr>
                <w:sz w:val="14"/>
              </w:rPr>
              <w:t>Réfectoire</w:t>
            </w:r>
          </w:p>
        </w:tc>
        <w:tc>
          <w:tcPr>
            <w:tcW w:type="dxa" w:w="680"/>
            <w:shd w:val="clear" w:color="auto" w:fill="EBF3FA"/>
          </w:tcPr>
          <w:p>
            <w:pPr>
              <w:jc w:val="center"/>
            </w:pPr>
            <w:r>
              <w:rPr>
                <w:sz w:val="14"/>
              </w:rPr>
              <w:t>Gaz</w:t>
            </w:r>
          </w:p>
        </w:tc>
        <w:tc>
          <w:tcPr>
            <w:tcW w:type="dxa" w:w="850"/>
            <w:shd w:val="clear" w:color="auto" w:fill="EBF3FA"/>
          </w:tcPr>
          <w:p>
            <w:pPr>
              <w:jc w:val="center"/>
            </w:pPr>
            <w:r>
              <w:rPr>
                <w:sz w:val="14"/>
              </w:rPr>
              <w:t>24 000 kWh</w:t>
            </w:r>
          </w:p>
        </w:tc>
        <w:tc>
          <w:tcPr>
            <w:tcW w:type="dxa" w:w="850"/>
            <w:shd w:val="clear" w:color="auto" w:fill="EBF3FA"/>
          </w:tcPr>
          <w:p>
            <w:pPr>
              <w:spacing w:before="20" w:after="0"/>
              <w:jc w:val="center"/>
            </w:pPr>
            <w:r>
              <w:rPr>
                <w:sz w:val="14"/>
              </w:rPr>
              <w:t>24 000 kWh</w:t>
            </w:r>
          </w:p>
        </w:tc>
        <w:tc>
          <w:tcPr>
            <w:tcW w:type="dxa" w:w="850"/>
            <w:shd w:val="clear" w:color="auto" w:fill="EBF3FA"/>
          </w:tcPr>
          <w:p>
            <w:pPr>
              <w:jc w:val="center"/>
            </w:pPr>
            <w:r>
              <w:rPr>
                <w:sz w:val="14"/>
              </w:rPr>
              <w:t>—</w:t>
            </w:r>
          </w:p>
        </w:tc>
        <w:tc>
          <w:tcPr>
            <w:tcW w:type="dxa" w:w="850"/>
            <w:shd w:val="clear" w:color="auto" w:fill="EBF3FA"/>
          </w:tcPr>
          <w:p>
            <w:pPr>
              <w:jc w:val="center"/>
            </w:pPr>
            <w:r>
              <w:rPr>
                <w:sz w:val="14"/>
              </w:rPr>
              <w:t>-1 680 €</w:t>
            </w:r>
          </w:p>
        </w:tc>
        <w:tc>
          <w:tcPr>
            <w:tcW w:type="dxa" w:w="794"/>
            <w:shd w:val="clear" w:color="auto" w:fill="EBF3FA"/>
          </w:tcPr>
          <w:p>
            <w:pPr>
              <w:jc w:val="center"/>
            </w:pPr>
            <w:r>
              <w:rPr>
                <w:sz w:val="14"/>
              </w:rPr>
              <w:t>4 080 kg</w:t>
            </w:r>
          </w:p>
        </w:tc>
        <w:tc>
          <w:tcPr>
            <w:tcW w:type="dxa" w:w="1417"/>
            <w:shd w:val="clear" w:color="auto" w:fill="EBF3FA"/>
          </w:tcPr>
          <w:p>
            <w:pPr>
              <w:jc w:val="center"/>
            </w:pPr>
            <w:r>
              <w:rPr>
                <w:sz w:val="14"/>
              </w:rPr>
              <w:t>16 000 — 50 000 €</w:t>
            </w:r>
          </w:p>
        </w:tc>
      </w:tr>
      <w:tr>
        <w:tc>
          <w:tcPr>
            <w:tcW w:type="dxa" w:w="227"/>
            <w:shd w:val="clear" w:color="auto" w:fill="FFFFFF"/>
          </w:tcPr>
          <w:p>
            <w:pPr>
              <w:jc w:val="center"/>
            </w:pPr>
            <w:r>
              <w:rPr>
                <w:sz w:val="14"/>
              </w:rPr>
              <w:t>3</w:t>
            </w:r>
          </w:p>
        </w:tc>
        <w:tc>
          <w:tcPr>
            <w:tcW w:type="dxa" w:w="1417"/>
            <w:shd w:val="clear" w:color="auto" w:fill="FFFFFF"/>
          </w:tcPr>
          <w:p>
            <w:pPr>
              <w:spacing w:before="20" w:after="0"/>
            </w:pPr>
            <w:r>
              <w:rPr>
                <w:b/>
                <w:sz w:val="16"/>
              </w:rPr>
              <w:t>Préchauffeur poches gaz</w:t>
            </w:r>
          </w:p>
          <w:p>
            <w:pPr>
              <w:spacing w:before="0" w:after="20"/>
            </w:pPr>
            <w:r>
              <w:rPr>
                <w:i/>
                <w:color w:val="555555"/>
                <w:sz w:val="14"/>
              </w:rPr>
              <w:t>Insertec LHS-300</w:t>
            </w:r>
          </w:p>
        </w:tc>
        <w:tc>
          <w:tcPr>
            <w:tcW w:type="dxa" w:w="850"/>
            <w:shd w:val="clear" w:color="auto" w:fill="FFFFFF"/>
          </w:tcPr>
          <w:p>
            <w:pPr>
              <w:jc w:val="center"/>
            </w:pPr>
            <w:r>
              <w:rPr>
                <w:sz w:val="14"/>
              </w:rPr>
              <w:t>Zone de coulée</w:t>
            </w:r>
          </w:p>
        </w:tc>
        <w:tc>
          <w:tcPr>
            <w:tcW w:type="dxa" w:w="680"/>
            <w:shd w:val="clear" w:color="auto" w:fill="FFFFFF"/>
          </w:tcPr>
          <w:p>
            <w:pPr>
              <w:jc w:val="center"/>
            </w:pPr>
            <w:r>
              <w:rPr>
                <w:sz w:val="14"/>
              </w:rPr>
              <w:t>Gaz</w:t>
            </w:r>
          </w:p>
        </w:tc>
        <w:tc>
          <w:tcPr>
            <w:tcW w:type="dxa" w:w="850"/>
            <w:shd w:val="clear" w:color="auto" w:fill="FFFFFF"/>
          </w:tcPr>
          <w:p>
            <w:pPr>
              <w:jc w:val="center"/>
            </w:pPr>
            <w:r>
              <w:rPr>
                <w:sz w:val="14"/>
              </w:rPr>
              <w:t>350 000 kWh</w:t>
            </w:r>
          </w:p>
        </w:tc>
        <w:tc>
          <w:tcPr>
            <w:tcW w:type="dxa" w:w="850"/>
            <w:shd w:val="clear" w:color="auto" w:fill="FFFFFF"/>
          </w:tcPr>
          <w:p>
            <w:pPr>
              <w:spacing w:before="20" w:after="0"/>
              <w:jc w:val="center"/>
            </w:pPr>
            <w:r>
              <w:rPr>
                <w:sz w:val="14"/>
              </w:rPr>
              <w:t>350 000 kWh</w:t>
            </w:r>
          </w:p>
        </w:tc>
        <w:tc>
          <w:tcPr>
            <w:tcW w:type="dxa" w:w="850"/>
            <w:shd w:val="clear" w:color="auto" w:fill="FFFFFF"/>
          </w:tcPr>
          <w:p>
            <w:pPr>
              <w:jc w:val="center"/>
            </w:pPr>
            <w:r>
              <w:rPr>
                <w:sz w:val="14"/>
              </w:rPr>
              <w:t>—</w:t>
            </w:r>
          </w:p>
        </w:tc>
        <w:tc>
          <w:tcPr>
            <w:tcW w:type="dxa" w:w="850"/>
            <w:shd w:val="clear" w:color="auto" w:fill="FFFFFF"/>
          </w:tcPr>
          <w:p>
            <w:pPr>
              <w:jc w:val="center"/>
            </w:pPr>
            <w:r>
              <w:rPr>
                <w:sz w:val="14"/>
              </w:rPr>
              <w:t>-24 500 €</w:t>
            </w:r>
          </w:p>
        </w:tc>
        <w:tc>
          <w:tcPr>
            <w:tcW w:type="dxa" w:w="794"/>
            <w:shd w:val="clear" w:color="auto" w:fill="FFFFFF"/>
          </w:tcPr>
          <w:p>
            <w:pPr>
              <w:jc w:val="center"/>
            </w:pPr>
            <w:r>
              <w:rPr>
                <w:sz w:val="14"/>
              </w:rPr>
              <w:t>59 500 kg</w:t>
            </w:r>
          </w:p>
        </w:tc>
        <w:tc>
          <w:tcPr>
            <w:tcW w:type="dxa" w:w="1417"/>
            <w:shd w:val="clear" w:color="auto" w:fill="FFFFFF"/>
          </w:tcPr>
          <w:p>
            <w:pPr>
              <w:jc w:val="center"/>
            </w:pPr>
            <w:r>
              <w:rPr>
                <w:sz w:val="14"/>
              </w:rPr>
              <w:t>24 000 — 56 000 €</w:t>
            </w:r>
          </w:p>
        </w:tc>
      </w:tr>
      <w:tr>
        <w:tc>
          <w:tcPr>
            <w:tcW w:type="dxa" w:w="227"/>
            <w:shd w:val="clear" w:color="auto" w:fill="EBF3FA"/>
          </w:tcPr>
          <w:p>
            <w:pPr>
              <w:jc w:val="center"/>
            </w:pPr>
            <w:r>
              <w:rPr>
                <w:sz w:val="14"/>
              </w:rPr>
              <w:t>4</w:t>
            </w:r>
          </w:p>
        </w:tc>
        <w:tc>
          <w:tcPr>
            <w:tcW w:type="dxa" w:w="1417"/>
            <w:shd w:val="clear" w:color="auto" w:fill="EBF3FA"/>
          </w:tcPr>
          <w:p>
            <w:pPr>
              <w:spacing w:before="20" w:after="0"/>
            </w:pPr>
            <w:r>
              <w:rPr>
                <w:b/>
                <w:sz w:val="16"/>
              </w:rPr>
              <w:t>Brûleur gaz</w:t>
            </w:r>
          </w:p>
          <w:p>
            <w:pPr>
              <w:spacing w:before="0" w:after="20"/>
            </w:pPr>
            <w:r>
              <w:rPr>
                <w:i/>
                <w:color w:val="555555"/>
                <w:sz w:val="14"/>
              </w:rPr>
              <w:t>Weishaupt WG30N</w:t>
            </w:r>
          </w:p>
        </w:tc>
        <w:tc>
          <w:tcPr>
            <w:tcW w:type="dxa" w:w="850"/>
            <w:shd w:val="clear" w:color="auto" w:fill="EBF3FA"/>
          </w:tcPr>
          <w:p>
            <w:pPr>
              <w:jc w:val="center"/>
            </w:pPr>
            <w:r>
              <w:rPr>
                <w:sz w:val="14"/>
              </w:rPr>
              <w:t>Chaufferie</w:t>
            </w:r>
          </w:p>
        </w:tc>
        <w:tc>
          <w:tcPr>
            <w:tcW w:type="dxa" w:w="680"/>
            <w:shd w:val="clear" w:color="auto" w:fill="EBF3FA"/>
          </w:tcPr>
          <w:p>
            <w:pPr>
              <w:jc w:val="center"/>
            </w:pPr>
            <w:r>
              <w:rPr>
                <w:sz w:val="14"/>
              </w:rPr>
              <w:t>Gaz</w:t>
            </w:r>
          </w:p>
        </w:tc>
        <w:tc>
          <w:tcPr>
            <w:tcW w:type="dxa" w:w="850"/>
            <w:shd w:val="clear" w:color="auto" w:fill="EBF3FA"/>
          </w:tcPr>
          <w:p>
            <w:pPr>
              <w:jc w:val="center"/>
            </w:pPr>
            <w:r>
              <w:rPr>
                <w:sz w:val="14"/>
              </w:rPr>
              <w:t>900 000 kWh</w:t>
            </w:r>
          </w:p>
        </w:tc>
        <w:tc>
          <w:tcPr>
            <w:tcW w:type="dxa" w:w="850"/>
            <w:shd w:val="clear" w:color="auto" w:fill="EBF3FA"/>
          </w:tcPr>
          <w:p>
            <w:pPr>
              <w:spacing w:before="20" w:after="0"/>
              <w:jc w:val="center"/>
            </w:pPr>
            <w:r>
              <w:rPr>
                <w:sz w:val="14"/>
              </w:rPr>
              <w:t>900 000 kWh</w:t>
            </w:r>
          </w:p>
        </w:tc>
        <w:tc>
          <w:tcPr>
            <w:tcW w:type="dxa" w:w="850"/>
            <w:shd w:val="clear" w:color="auto" w:fill="EBF3FA"/>
          </w:tcPr>
          <w:p>
            <w:pPr>
              <w:jc w:val="center"/>
            </w:pPr>
            <w:r>
              <w:rPr>
                <w:sz w:val="14"/>
              </w:rPr>
              <w:t>—</w:t>
            </w:r>
          </w:p>
        </w:tc>
        <w:tc>
          <w:tcPr>
            <w:tcW w:type="dxa" w:w="850"/>
            <w:shd w:val="clear" w:color="auto" w:fill="EBF3FA"/>
          </w:tcPr>
          <w:p>
            <w:pPr>
              <w:jc w:val="center"/>
            </w:pPr>
            <w:r>
              <w:rPr>
                <w:sz w:val="14"/>
              </w:rPr>
              <w:t>-63 000 €</w:t>
            </w:r>
          </w:p>
        </w:tc>
        <w:tc>
          <w:tcPr>
            <w:tcW w:type="dxa" w:w="794"/>
            <w:shd w:val="clear" w:color="auto" w:fill="EBF3FA"/>
          </w:tcPr>
          <w:p>
            <w:pPr>
              <w:jc w:val="center"/>
            </w:pPr>
            <w:r>
              <w:rPr>
                <w:sz w:val="14"/>
              </w:rPr>
              <w:t>153 000 kg</w:t>
            </w:r>
          </w:p>
        </w:tc>
        <w:tc>
          <w:tcPr>
            <w:tcW w:type="dxa" w:w="1417"/>
            <w:shd w:val="clear" w:color="auto" w:fill="EBF3FA"/>
          </w:tcPr>
          <w:p>
            <w:pPr>
              <w:jc w:val="center"/>
            </w:pPr>
            <w:r>
              <w:rPr>
                <w:sz w:val="14"/>
              </w:rPr>
              <w:t>80 000 — 180 000 €</w:t>
            </w:r>
          </w:p>
        </w:tc>
      </w:tr>
      <w:tr>
        <w:tc>
          <w:tcPr>
            <w:tcW w:type="dxa" w:w="227"/>
            <w:shd w:val="clear" w:color="auto" w:fill="FFFFFF"/>
          </w:tcPr>
          <w:p>
            <w:pPr>
              <w:jc w:val="center"/>
            </w:pPr>
            <w:r>
              <w:rPr>
                <w:sz w:val="14"/>
              </w:rPr>
              <w:t>5</w:t>
            </w:r>
          </w:p>
        </w:tc>
        <w:tc>
          <w:tcPr>
            <w:tcW w:type="dxa" w:w="1417"/>
            <w:shd w:val="clear" w:color="auto" w:fill="FFFFFF"/>
          </w:tcPr>
          <w:p>
            <w:pPr>
              <w:spacing w:before="20" w:after="0"/>
            </w:pPr>
            <w:r>
              <w:rPr>
                <w:b/>
                <w:sz w:val="16"/>
              </w:rPr>
              <w:t>Four de maintien gaz</w:t>
            </w:r>
          </w:p>
          <w:p>
            <w:pPr>
              <w:spacing w:before="0" w:after="20"/>
            </w:pPr>
            <w:r>
              <w:rPr>
                <w:i/>
                <w:color w:val="555555"/>
                <w:sz w:val="14"/>
              </w:rPr>
              <w:t>StrikoWestofen WN R/E 1500</w:t>
            </w:r>
          </w:p>
        </w:tc>
        <w:tc>
          <w:tcPr>
            <w:tcW w:type="dxa" w:w="850"/>
            <w:shd w:val="clear" w:color="auto" w:fill="FFFFFF"/>
          </w:tcPr>
          <w:p>
            <w:pPr>
              <w:jc w:val="center"/>
            </w:pPr>
            <w:r>
              <w:rPr>
                <w:sz w:val="14"/>
              </w:rPr>
              <w:t>Zone de coulée</w:t>
            </w:r>
          </w:p>
        </w:tc>
        <w:tc>
          <w:tcPr>
            <w:tcW w:type="dxa" w:w="680"/>
            <w:shd w:val="clear" w:color="auto" w:fill="FFFFFF"/>
          </w:tcPr>
          <w:p>
            <w:pPr>
              <w:jc w:val="center"/>
            </w:pPr>
            <w:r>
              <w:rPr>
                <w:sz w:val="14"/>
              </w:rPr>
              <w:t>Gaz</w:t>
            </w:r>
          </w:p>
        </w:tc>
        <w:tc>
          <w:tcPr>
            <w:tcW w:type="dxa" w:w="850"/>
            <w:shd w:val="clear" w:color="auto" w:fill="FFFFFF"/>
          </w:tcPr>
          <w:p>
            <w:pPr>
              <w:jc w:val="center"/>
            </w:pPr>
            <w:r>
              <w:rPr>
                <w:sz w:val="14"/>
              </w:rPr>
              <w:t>1 100 000 kWh</w:t>
            </w:r>
          </w:p>
        </w:tc>
        <w:tc>
          <w:tcPr>
            <w:tcW w:type="dxa" w:w="850"/>
            <w:shd w:val="clear" w:color="auto" w:fill="FFFFFF"/>
          </w:tcPr>
          <w:p>
            <w:pPr>
              <w:spacing w:before="20" w:after="0"/>
              <w:jc w:val="center"/>
            </w:pPr>
            <w:r>
              <w:rPr>
                <w:sz w:val="14"/>
              </w:rPr>
              <w:t>1 100 000 kWh</w:t>
            </w:r>
          </w:p>
        </w:tc>
        <w:tc>
          <w:tcPr>
            <w:tcW w:type="dxa" w:w="850"/>
            <w:shd w:val="clear" w:color="auto" w:fill="FFFFFF"/>
          </w:tcPr>
          <w:p>
            <w:pPr>
              <w:jc w:val="center"/>
            </w:pPr>
            <w:r>
              <w:rPr>
                <w:sz w:val="14"/>
              </w:rPr>
              <w:t>—</w:t>
            </w:r>
          </w:p>
        </w:tc>
        <w:tc>
          <w:tcPr>
            <w:tcW w:type="dxa" w:w="850"/>
            <w:shd w:val="clear" w:color="auto" w:fill="FFFFFF"/>
          </w:tcPr>
          <w:p>
            <w:pPr>
              <w:jc w:val="center"/>
            </w:pPr>
            <w:r>
              <w:rPr>
                <w:sz w:val="14"/>
              </w:rPr>
              <w:t>-77 000 €</w:t>
            </w:r>
          </w:p>
        </w:tc>
        <w:tc>
          <w:tcPr>
            <w:tcW w:type="dxa" w:w="794"/>
            <w:shd w:val="clear" w:color="auto" w:fill="FFFFFF"/>
          </w:tcPr>
          <w:p>
            <w:pPr>
              <w:jc w:val="center"/>
            </w:pPr>
            <w:r>
              <w:rPr>
                <w:sz w:val="14"/>
              </w:rPr>
              <w:t>187 000 kg</w:t>
            </w:r>
          </w:p>
        </w:tc>
        <w:tc>
          <w:tcPr>
            <w:tcW w:type="dxa" w:w="1417"/>
            <w:shd w:val="clear" w:color="auto" w:fill="FFFFFF"/>
          </w:tcPr>
          <w:p>
            <w:pPr>
              <w:jc w:val="center"/>
            </w:pPr>
            <w:r>
              <w:rPr>
                <w:sz w:val="14"/>
              </w:rPr>
              <w:t>144 000 — 450 000 €</w:t>
            </w:r>
          </w:p>
        </w:tc>
      </w:tr>
      <w:tr>
        <w:tc>
          <w:tcPr>
            <w:tcW w:type="dxa" w:w="2494"/>
            <w:gridSpan w:val="3"/>
            <w:shd w:val="clear" w:color="auto" w:fill="D6E4F0"/>
          </w:tcPr>
          <w:p>
            <w:pPr>
              <w:jc w:val="center"/>
            </w:pPr>
            <w:r>
              <w:rPr>
                <w:b/>
                <w:sz w:val="14"/>
              </w:rPr>
              <w:t>TOTAL</w:t>
            </w:r>
          </w:p>
        </w:tc>
        <w:tc>
          <w:tcPr>
            <w:tcW w:type="dxa" w:w="680"/>
            <w:shd w:val="clear" w:color="auto" w:fill="D6E4F0"/>
          </w:tcPr>
          <w:p>
            <w:pPr>
              <w:jc w:val="center"/>
            </w:pPr>
            <w:r>
              <w:rPr>
                <w:b/>
                <w:sz w:val="14"/>
              </w:rPr>
            </w:r>
          </w:p>
        </w:tc>
        <w:tc>
          <w:tcPr>
            <w:tcW w:type="dxa" w:w="850"/>
            <w:shd w:val="clear" w:color="auto" w:fill="D6E4F0"/>
          </w:tcPr>
          <w:p>
            <w:pPr>
              <w:jc w:val="center"/>
            </w:pPr>
            <w:r>
              <w:rPr>
                <w:b/>
                <w:sz w:val="14"/>
              </w:rPr>
              <w:t>4 124 000</w:t>
            </w:r>
          </w:p>
        </w:tc>
        <w:tc>
          <w:tcPr>
            <w:tcW w:type="dxa" w:w="850"/>
            <w:shd w:val="clear" w:color="auto" w:fill="D6E4F0"/>
          </w:tcPr>
          <w:p>
            <w:pPr>
              <w:jc w:val="center"/>
            </w:pPr>
            <w:r>
              <w:rPr>
                <w:b/>
                <w:sz w:val="14"/>
              </w:rPr>
              <w:t>2 874 000</w:t>
            </w:r>
          </w:p>
        </w:tc>
        <w:tc>
          <w:tcPr>
            <w:tcW w:type="dxa" w:w="850"/>
            <w:shd w:val="clear" w:color="auto" w:fill="D6E4F0"/>
          </w:tcPr>
          <w:p>
            <w:pPr>
              <w:jc w:val="center"/>
            </w:pPr>
            <w:r>
              <w:rPr>
                <w:b/>
                <w:sz w:val="14"/>
              </w:rPr>
              <w:t>1 250 000</w:t>
            </w:r>
          </w:p>
        </w:tc>
        <w:tc>
          <w:tcPr>
            <w:tcW w:type="dxa" w:w="850"/>
            <w:shd w:val="clear" w:color="auto" w:fill="D6E4F0"/>
          </w:tcPr>
          <w:p>
            <w:pPr>
              <w:jc w:val="center"/>
            </w:pPr>
            <w:r>
              <w:rPr>
                <w:b/>
                <w:sz w:val="14"/>
              </w:rPr>
              <w:t>-101 180</w:t>
            </w:r>
          </w:p>
        </w:tc>
        <w:tc>
          <w:tcPr>
            <w:tcW w:type="dxa" w:w="794"/>
            <w:shd w:val="clear" w:color="auto" w:fill="D6E4F0"/>
          </w:tcPr>
          <w:p>
            <w:pPr>
              <w:jc w:val="center"/>
            </w:pPr>
            <w:r>
              <w:rPr>
                <w:b/>
                <w:sz w:val="14"/>
              </w:rPr>
              <w:t>776 080</w:t>
            </w:r>
          </w:p>
        </w:tc>
        <w:tc>
          <w:tcPr>
            <w:tcW w:type="dxa" w:w="1417"/>
            <w:shd w:val="clear" w:color="auto" w:fill="D6E4F0"/>
          </w:tcPr>
          <w:p>
            <w:pPr>
              <w:jc w:val="center"/>
            </w:pPr>
            <w:r>
              <w:rPr>
                <w:b/>
                <w:sz w:val="14"/>
              </w:rPr>
              <w:t>474 000 — 1 156 000 €</w:t>
            </w:r>
          </w:p>
        </w:tc>
      </w:tr>
    </w:tbl>
    <w:p/>
    <w:p>
      <w:pPr>
        <w:shd w:val="clear" w:color="auto" w:fill="EBF3FA"/>
        <w:spacing w:before="80" w:after="80"/>
        <w:ind w:left="120"/>
      </w:pPr>
      <w:r>
        <w:rPr>
          <w:b/>
          <w:color w:val="1F4E79"/>
          <w:sz w:val="18"/>
        </w:rPr>
        <w:t>Synthèse du scénario d'électrification :</w:t>
      </w:r>
      <w:r>
        <w:br/>
      </w:r>
      <w:r>
        <w:rPr>
          <w:color w:val="555555"/>
          <w:sz w:val="18"/>
        </w:rPr>
        <w:t>• Retour sur investissement : n/d</w:t>
      </w:r>
      <w:r>
        <w:br/>
      </w:r>
      <w:r>
        <w:rPr>
          <w:color w:val="555555"/>
          <w:sz w:val="18"/>
        </w:rPr>
        <w:t>• Réduction des émissions CO₂ : 82% sur le périmètre thermique</w:t>
      </w:r>
      <w:r>
        <w:br/>
      </w:r>
      <w:r>
        <w:rPr>
          <w:color w:val="555555"/>
          <w:sz w:val="18"/>
        </w:rPr>
        <w:t>• Hypothèses : COP PAC selon type d'équipement, prix énergie fournis par l'auditeur</w:t>
      </w:r>
    </w:p>
    <w:p>
      <w:r>
        <w:br w:type="page"/>
      </w:r>
    </w:p>
    <w:p>
      <w:pPr>
        <w:spacing w:before="0" w:after="80"/>
        <w:pBdr>
          <w:left w:val="single" w:sz="24" w:space="4" w:color="1F4E79"/>
        </w:pBdr>
        <w:shd w:val="clear" w:color="auto" w:fill="EBF3FA"/>
      </w:pPr>
      <w:r>
        <w:rPr>
          <w:b/>
          <w:color w:val="FFFFFF"/>
          <w:sz w:val="26"/>
          <w:shd w:val="clear" w:color="auto" w:fill="1F4E79"/>
        </w:rPr>
        <w:t xml:space="preserve">  16.  </w:t>
      </w:r>
      <w:r>
        <w:rPr>
          <w:b/>
          <w:color w:val="1F4E79"/>
          <w:sz w:val="26"/>
        </w:rPr>
        <w:t xml:space="preserve"> Aides financières applicables</w:t>
      </w:r>
    </w:p>
    <w:p/>
    <w:p>
      <w:pPr>
        <w:spacing w:after="160"/>
      </w:pPr>
      <w:r>
        <w:rPr>
          <w:i/>
          <w:color w:val="555555"/>
          <w:sz w:val="18"/>
        </w:rPr>
        <w:t>Les estimations ci-dessous sont indicatives et doivent être confirmées auprès des organismes compétents (ADEME, fournisseurs CEE, BPI France). Elles sont établies sur la base des référentiels 2025.</w:t>
      </w:r>
    </w:p>
    <w:tbl>
      <w:tblPr>
        <w:tblStyle w:val="TableGrid"/>
        <w:tblW w:type="auto" w:w="0"/>
        <w:tblLook w:firstColumn="1" w:firstRow="1" w:lastColumn="0" w:lastRow="0" w:noHBand="0" w:noVBand="1" w:val="04A0"/>
      </w:tblPr>
      <w:tblGrid>
        <w:gridCol w:w="2422"/>
        <w:gridCol w:w="2422"/>
        <w:gridCol w:w="2422"/>
        <w:gridCol w:w="2422"/>
      </w:tblGrid>
      <w:tr>
        <w:tc>
          <w:tcPr>
            <w:tcW w:type="dxa" w:w="2422"/>
            <w:shd w:val="clear" w:color="auto" w:fill="EBF3FA"/>
            <w:tcBdr>
              <w:top w:val="single" w:sz="12" w:color="1F4E79"/>
            </w:tcBdr>
          </w:tcPr>
          <w:p>
            <w:pPr>
              <w:spacing w:before="80" w:after="0"/>
              <w:ind w:left="120"/>
            </w:pPr>
            <w:r>
              <w:rPr>
                <w:color w:val="555555"/>
                <w:sz w:val="16"/>
              </w:rPr>
              <w:t>CEE estimés</w:t>
            </w:r>
          </w:p>
          <w:p>
            <w:pPr>
              <w:spacing w:before="0" w:after="40"/>
              <w:ind w:left="120"/>
            </w:pPr>
            <w:r>
              <w:rPr>
                <w:b/>
                <w:color w:val="1F4E79"/>
                <w:sz w:val="30"/>
              </w:rPr>
              <w:t>105 972</w:t>
            </w:r>
            <w:r>
              <w:rPr>
                <w:color w:val="555555"/>
                <w:sz w:val="16"/>
              </w:rPr>
              <w:t xml:space="preserve"> €</w:t>
            </w:r>
          </w:p>
        </w:tc>
        <w:tc>
          <w:tcPr>
            <w:tcW w:type="dxa" w:w="2422"/>
            <w:shd w:val="clear" w:color="auto" w:fill="EBF3FA"/>
            <w:tcBdr>
              <w:top w:val="single" w:sz="12" w:color="1A7A45"/>
            </w:tcBdr>
          </w:tcPr>
          <w:p>
            <w:pPr>
              <w:spacing w:before="80" w:after="0"/>
              <w:ind w:left="120"/>
            </w:pPr>
            <w:r>
              <w:rPr>
                <w:color w:val="555555"/>
                <w:sz w:val="16"/>
              </w:rPr>
              <w:t>Fonds Chaleur ADEME</w:t>
            </w:r>
          </w:p>
          <w:p>
            <w:pPr>
              <w:spacing w:before="0" w:after="40"/>
              <w:ind w:left="120"/>
            </w:pPr>
            <w:r>
              <w:rPr>
                <w:b/>
                <w:color w:val="1A7A45"/>
                <w:sz w:val="30"/>
              </w:rPr>
              <w:t>231 000</w:t>
            </w:r>
            <w:r>
              <w:rPr>
                <w:color w:val="555555"/>
                <w:sz w:val="16"/>
              </w:rPr>
              <w:t xml:space="preserve"> €</w:t>
            </w:r>
          </w:p>
        </w:tc>
        <w:tc>
          <w:tcPr>
            <w:tcW w:type="dxa" w:w="2422"/>
            <w:shd w:val="clear" w:color="auto" w:fill="EBF3FA"/>
            <w:tcBdr>
              <w:top w:val="single" w:sz="12" w:color="2E5F8A"/>
            </w:tcBdr>
          </w:tcPr>
          <w:p>
            <w:pPr>
              <w:spacing w:before="80" w:after="0"/>
              <w:ind w:left="120"/>
            </w:pPr>
            <w:r>
              <w:rPr>
                <w:color w:val="555555"/>
                <w:sz w:val="16"/>
              </w:rPr>
              <w:t>Éco. TVA 5.5%</w:t>
            </w:r>
          </w:p>
          <w:p>
            <w:pPr>
              <w:spacing w:before="0" w:after="40"/>
              <w:ind w:left="120"/>
            </w:pPr>
            <w:r>
              <w:rPr>
                <w:b/>
                <w:color w:val="2E5F8A"/>
                <w:sz w:val="30"/>
              </w:rPr>
              <w:t>0</w:t>
            </w:r>
            <w:r>
              <w:rPr>
                <w:color w:val="555555"/>
                <w:sz w:val="16"/>
              </w:rPr>
              <w:t xml:space="preserve"> €</w:t>
            </w:r>
          </w:p>
        </w:tc>
        <w:tc>
          <w:tcPr>
            <w:tcW w:type="dxa" w:w="2422"/>
            <w:shd w:val="clear" w:color="auto" w:fill="EBF3FA"/>
            <w:tcBdr>
              <w:top w:val="single" w:sz="12" w:color="C45A00"/>
            </w:tcBdr>
          </w:tcPr>
          <w:p>
            <w:pPr>
              <w:spacing w:before="80" w:after="0"/>
              <w:ind w:left="120"/>
            </w:pPr>
            <w:r>
              <w:rPr>
                <w:color w:val="555555"/>
                <w:sz w:val="16"/>
              </w:rPr>
              <w:t>Couverture invest.</w:t>
            </w:r>
          </w:p>
          <w:p>
            <w:pPr>
              <w:spacing w:before="0" w:after="40"/>
              <w:ind w:left="120"/>
            </w:pPr>
            <w:r>
              <w:rPr>
                <w:b/>
                <w:color w:val="C45A00"/>
                <w:sz w:val="30"/>
              </w:rPr>
              <w:t>20.1 %</w:t>
            </w:r>
          </w:p>
        </w:tc>
      </w:tr>
    </w:tbl>
    <w:p>
      <w:pPr>
        <w:spacing w:after="80"/>
      </w:pPr>
    </w:p>
    <w:p>
      <w:pPr>
        <w:spacing w:after="120"/>
        <w:shd w:val="clear" w:color="auto" w:fill="E8F5E9"/>
      </w:pPr>
      <w:r>
        <w:rPr>
          <w:color w:val="555555"/>
          <w:sz w:val="20"/>
        </w:rPr>
        <w:t xml:space="preserve">  💡 Investissement net après aides directes estimées : </w:t>
      </w:r>
      <w:r>
        <w:rPr>
          <w:b/>
          <w:color w:val="1A7A45"/>
          <w:sz w:val="26"/>
        </w:rPr>
        <w:t>1 342 528 €</w:t>
      </w:r>
      <w:r>
        <w:rPr>
          <w:color w:val="555555"/>
          <w:sz w:val="18"/>
        </w:rPr>
        <w:t xml:space="preserve">  (invest. 1 679 500 € — aides 336 972 €)</w:t>
      </w:r>
    </w:p>
    <w:p>
      <w:pPr>
        <w:spacing w:after="160"/>
        <w:shd w:val="clear" w:color="auto" w:fill="EBF3FA"/>
      </w:pPr>
      <w:r>
        <w:rPr>
          <w:color w:val="1F4E79"/>
          <w:sz w:val="20"/>
        </w:rPr>
        <w:t xml:space="preserve">  🏦 4 action(s) éligible(s) au Prêt Vert BPI France — financement jusqu'à 70 % via banque partenaire.</w:t>
      </w:r>
    </w:p>
    <w:p/>
    <w:p>
      <w:r>
        <w:rPr>
          <w:b/>
          <w:color w:val="1F4E79"/>
          <w:sz w:val="22"/>
        </w:rPr>
        <w:t>Détail des aides par action</w:t>
      </w:r>
    </w:p>
    <w:p/>
    <w:tbl>
      <w:tblPr>
        <w:tblStyle w:val="TableGrid"/>
        <w:tblW w:type="auto" w:w="0"/>
        <w:tblLook w:firstColumn="1" w:firstRow="1" w:lastColumn="0" w:lastRow="0" w:noHBand="0" w:noVBand="1" w:val="04A0"/>
        <w:tblW w:w="9072" w:type="dxa"/>
        <w:tblLayout w:type="fixed"/>
      </w:tblPr>
      <w:tblGrid>
        <w:gridCol w:w="1615"/>
        <w:gridCol w:w="1615"/>
        <w:gridCol w:w="1615"/>
        <w:gridCol w:w="1615"/>
        <w:gridCol w:w="1615"/>
        <w:gridCol w:w="1615"/>
      </w:tblGrid>
      <w:tr>
        <w:tc>
          <w:tcPr>
            <w:tcW w:type="dxa" w:w="3118"/>
            <w:shd w:val="clear" w:color="auto" w:fill="1F4E79"/>
          </w:tcPr>
          <w:p>
            <w:pPr>
              <w:jc w:val="center"/>
            </w:pPr>
            <w:r>
              <w:rPr>
                <w:b/>
                <w:color w:val="FFFFFF"/>
              </w:rPr>
              <w:t>Action</w:t>
            </w:r>
          </w:p>
        </w:tc>
        <w:tc>
          <w:tcPr>
            <w:tcW w:type="dxa" w:w="1247"/>
            <w:shd w:val="clear" w:color="auto" w:fill="1F4E79"/>
          </w:tcPr>
          <w:p>
            <w:pPr>
              <w:jc w:val="center"/>
            </w:pPr>
            <w:r>
              <w:rPr>
                <w:b/>
                <w:color w:val="FFFFFF"/>
              </w:rPr>
              <w:t>Invest. (€)</w:t>
            </w:r>
          </w:p>
        </w:tc>
        <w:tc>
          <w:tcPr>
            <w:tcW w:type="dxa" w:w="1247"/>
            <w:shd w:val="clear" w:color="auto" w:fill="1F4E79"/>
          </w:tcPr>
          <w:p>
            <w:pPr>
              <w:jc w:val="center"/>
            </w:pPr>
            <w:r>
              <w:rPr>
                <w:b/>
                <w:color w:val="FFFFFF"/>
              </w:rPr>
              <w:t>CEE (€)</w:t>
            </w:r>
          </w:p>
        </w:tc>
        <w:tc>
          <w:tcPr>
            <w:tcW w:type="dxa" w:w="1587"/>
            <w:shd w:val="clear" w:color="auto" w:fill="1F4E79"/>
          </w:tcPr>
          <w:p>
            <w:pPr>
              <w:jc w:val="center"/>
            </w:pPr>
            <w:r>
              <w:rPr>
                <w:b/>
                <w:color w:val="FFFFFF"/>
              </w:rPr>
              <w:t>Fonds Chaleur (€)</w:t>
            </w:r>
          </w:p>
        </w:tc>
        <w:tc>
          <w:tcPr>
            <w:tcW w:type="dxa" w:w="1247"/>
            <w:shd w:val="clear" w:color="auto" w:fill="1F4E79"/>
          </w:tcPr>
          <w:p>
            <w:pPr>
              <w:jc w:val="center"/>
            </w:pPr>
            <w:r>
              <w:rPr>
                <w:b/>
                <w:color w:val="FFFFFF"/>
              </w:rPr>
              <w:t>Total aides (€)</w:t>
            </w:r>
          </w:p>
        </w:tc>
        <w:tc>
          <w:tcPr>
            <w:tcW w:type="dxa" w:w="1020"/>
            <w:shd w:val="clear" w:color="auto" w:fill="1F4E79"/>
          </w:tcPr>
          <w:p>
            <w:pPr>
              <w:jc w:val="center"/>
            </w:pPr>
            <w:r>
              <w:rPr>
                <w:b/>
                <w:color w:val="FFFFFF"/>
              </w:rPr>
              <w:t>ROI net (ans)</w:t>
            </w:r>
          </w:p>
        </w:tc>
      </w:tr>
      <w:tr>
        <w:tc>
          <w:tcPr>
            <w:tcW w:type="dxa" w:w="3118"/>
            <w:shd w:val="clear" w:color="auto" w:fill="FFFFFF"/>
          </w:tcPr>
          <w:p>
            <w:pPr>
              <w:spacing w:before="40" w:after="40"/>
            </w:pPr>
            <w:r>
              <w:rPr>
                <w:sz w:val="14"/>
              </w:rPr>
              <w:t>Remplacement des éclairages industriels Osram HQL 250W par des LED dans l'Atelier finition</w:t>
            </w:r>
          </w:p>
        </w:tc>
        <w:tc>
          <w:tcPr>
            <w:tcW w:type="dxa" w:w="1247"/>
            <w:shd w:val="clear" w:color="auto" w:fill="FFFFFF"/>
          </w:tcPr>
          <w:p>
            <w:pPr>
              <w:spacing w:before="40" w:after="40"/>
            </w:pPr>
            <w:r>
              <w:rPr>
                <w:sz w:val="16"/>
              </w:rPr>
              <w:t>4 500 €</w:t>
            </w:r>
          </w:p>
        </w:tc>
        <w:tc>
          <w:tcPr>
            <w:tcW w:type="dxa" w:w="1247"/>
            <w:shd w:val="clear" w:color="auto" w:fill="FFFFFF"/>
          </w:tcPr>
          <w:p>
            <w:pPr>
              <w:spacing w:before="40" w:after="40"/>
            </w:pPr>
            <w:r>
              <w:rPr>
                <w:sz w:val="16"/>
              </w:rPr>
              <w:t>708 €</w:t>
            </w:r>
          </w:p>
        </w:tc>
        <w:tc>
          <w:tcPr>
            <w:tcW w:type="dxa" w:w="1587"/>
            <w:shd w:val="clear" w:color="auto" w:fill="FFFFFF"/>
          </w:tcPr>
          <w:p>
            <w:pPr>
              <w:spacing w:before="40" w:after="40"/>
            </w:pPr>
            <w:r>
              <w:rPr>
                <w:sz w:val="16"/>
              </w:rPr>
              <w:t>—</w:t>
            </w:r>
          </w:p>
        </w:tc>
        <w:tc>
          <w:tcPr>
            <w:tcW w:type="dxa" w:w="1247"/>
            <w:shd w:val="clear" w:color="auto" w:fill="E8F5E9"/>
          </w:tcPr>
          <w:p>
            <w:pPr>
              <w:spacing w:before="40" w:after="40"/>
            </w:pPr>
            <w:r>
              <w:rPr>
                <w:sz w:val="16"/>
              </w:rPr>
              <w:t>708 €</w:t>
            </w:r>
          </w:p>
        </w:tc>
        <w:tc>
          <w:tcPr>
            <w:tcW w:type="dxa" w:w="1020"/>
          </w:tcPr>
          <w:p>
            <w:pPr>
              <w:spacing w:before="40" w:after="40"/>
            </w:pPr>
            <w:r>
              <w:rPr>
                <w:sz w:val="16"/>
              </w:rPr>
              <w:t>2.1 ans</w:t>
            </w:r>
          </w:p>
        </w:tc>
      </w:tr>
      <w:tr>
        <w:tc>
          <w:tcPr>
            <w:tcW w:type="dxa" w:w="3118"/>
            <w:shd w:val="clear" w:color="auto" w:fill="EBF3FA"/>
          </w:tcPr>
          <w:p>
            <w:pPr>
              <w:spacing w:before="40" w:after="40"/>
            </w:pPr>
            <w:r>
              <w:rPr>
                <w:sz w:val="14"/>
              </w:rPr>
              <w:t>Installation d'un variateur de vitesse sur le moteur LBC 350 kW de l'Atelier finition</w:t>
            </w:r>
          </w:p>
        </w:tc>
        <w:tc>
          <w:tcPr>
            <w:tcW w:type="dxa" w:w="1247"/>
            <w:shd w:val="clear" w:color="auto" w:fill="EBF3FA"/>
          </w:tcPr>
          <w:p>
            <w:pPr>
              <w:spacing w:before="40" w:after="40"/>
            </w:pPr>
            <w:r>
              <w:rPr>
                <w:sz w:val="16"/>
              </w:rPr>
              <w:t>35 000 €</w:t>
            </w:r>
          </w:p>
        </w:tc>
        <w:tc>
          <w:tcPr>
            <w:tcW w:type="dxa" w:w="1247"/>
            <w:shd w:val="clear" w:color="auto" w:fill="EBF3FA"/>
          </w:tcPr>
          <w:p>
            <w:pPr>
              <w:spacing w:before="40" w:after="40"/>
            </w:pPr>
            <w:r>
              <w:rPr>
                <w:sz w:val="16"/>
              </w:rPr>
              <w:t>5 315 €</w:t>
            </w:r>
          </w:p>
        </w:tc>
        <w:tc>
          <w:tcPr>
            <w:tcW w:type="dxa" w:w="1587"/>
            <w:shd w:val="clear" w:color="auto" w:fill="EBF3FA"/>
          </w:tcPr>
          <w:p>
            <w:pPr>
              <w:spacing w:before="40" w:after="40"/>
            </w:pPr>
            <w:r>
              <w:rPr>
                <w:sz w:val="16"/>
              </w:rPr>
              <w:t>—</w:t>
            </w:r>
          </w:p>
        </w:tc>
        <w:tc>
          <w:tcPr>
            <w:tcW w:type="dxa" w:w="1247"/>
            <w:shd w:val="clear" w:color="auto" w:fill="E8F5E9"/>
          </w:tcPr>
          <w:p>
            <w:pPr>
              <w:spacing w:before="40" w:after="40"/>
            </w:pPr>
            <w:r>
              <w:rPr>
                <w:sz w:val="16"/>
              </w:rPr>
              <w:t>5 315 €</w:t>
            </w:r>
          </w:p>
        </w:tc>
        <w:tc>
          <w:tcPr>
            <w:tcW w:type="dxa" w:w="1020"/>
          </w:tcPr>
          <w:p>
            <w:pPr>
              <w:spacing w:before="40" w:after="40"/>
            </w:pPr>
            <w:r>
              <w:rPr>
                <w:sz w:val="16"/>
              </w:rPr>
              <w:t>2.2 ans</w:t>
            </w:r>
          </w:p>
        </w:tc>
      </w:tr>
      <w:tr>
        <w:tc>
          <w:tcPr>
            <w:tcW w:type="dxa" w:w="3118"/>
            <w:shd w:val="clear" w:color="auto" w:fill="FFFFFF"/>
          </w:tcPr>
          <w:p>
            <w:pPr>
              <w:spacing w:before="40" w:after="40"/>
            </w:pPr>
            <w:r>
              <w:rPr>
                <w:sz w:val="14"/>
              </w:rPr>
              <w:t>Électrification : Chaudière gazDe Dietrich GT 330 (Chaufferie)</w:t>
            </w:r>
          </w:p>
        </w:tc>
        <w:tc>
          <w:tcPr>
            <w:tcW w:type="dxa" w:w="1247"/>
            <w:shd w:val="clear" w:color="auto" w:fill="FFFFFF"/>
          </w:tcPr>
          <w:p>
            <w:pPr>
              <w:spacing w:before="40" w:after="40"/>
            </w:pPr>
            <w:r>
              <w:rPr>
                <w:sz w:val="16"/>
              </w:rPr>
              <w:t>315 000 €</w:t>
            </w:r>
          </w:p>
        </w:tc>
        <w:tc>
          <w:tcPr>
            <w:tcW w:type="dxa" w:w="1247"/>
            <w:shd w:val="clear" w:color="auto" w:fill="FFFFFF"/>
          </w:tcPr>
          <w:p>
            <w:pPr>
              <w:spacing w:before="40" w:after="40"/>
            </w:pPr>
            <w:r>
              <w:rPr>
                <w:sz w:val="16"/>
              </w:rPr>
              <w:t>42 187 €</w:t>
            </w:r>
          </w:p>
        </w:tc>
        <w:tc>
          <w:tcPr>
            <w:tcW w:type="dxa" w:w="1587"/>
            <w:shd w:val="clear" w:color="auto" w:fill="FFFFFF"/>
          </w:tcPr>
          <w:p>
            <w:pPr>
              <w:spacing w:before="40" w:after="40"/>
            </w:pPr>
            <w:r>
              <w:rPr>
                <w:sz w:val="16"/>
              </w:rPr>
              <w:t>126 000 €</w:t>
              <w:br/>
              <w:t>+TVA: voir *</w:t>
            </w:r>
          </w:p>
        </w:tc>
        <w:tc>
          <w:tcPr>
            <w:tcW w:type="dxa" w:w="1247"/>
            <w:shd w:val="clear" w:color="auto" w:fill="E8F5E9"/>
          </w:tcPr>
          <w:p>
            <w:pPr>
              <w:spacing w:before="40" w:after="40"/>
            </w:pPr>
            <w:r>
              <w:rPr>
                <w:sz w:val="16"/>
              </w:rPr>
              <w:t>168 187 €</w:t>
            </w:r>
          </w:p>
        </w:tc>
        <w:tc>
          <w:tcPr>
            <w:tcW w:type="dxa" w:w="1020"/>
          </w:tcPr>
          <w:p>
            <w:pPr>
              <w:spacing w:before="40" w:after="40"/>
            </w:pPr>
            <w:r>
              <w:rPr>
                <w:sz w:val="16"/>
              </w:rPr>
              <w:t>2.3 ans</w:t>
            </w:r>
          </w:p>
        </w:tc>
      </w:tr>
      <w:tr>
        <w:tc>
          <w:tcPr>
            <w:tcW w:type="dxa" w:w="3118"/>
            <w:shd w:val="clear" w:color="auto" w:fill="EBF3FA"/>
          </w:tcPr>
          <w:p>
            <w:pPr>
              <w:spacing w:before="40" w:after="40"/>
            </w:pPr>
            <w:r>
              <w:rPr>
                <w:sz w:val="14"/>
              </w:rPr>
              <w:t>Récupération de chaleur fatale sur les fours à induction ABP Induction IFM 2000 et IFM 1000</w:t>
            </w:r>
          </w:p>
        </w:tc>
        <w:tc>
          <w:tcPr>
            <w:tcW w:type="dxa" w:w="1247"/>
            <w:shd w:val="clear" w:color="auto" w:fill="EBF3FA"/>
          </w:tcPr>
          <w:p>
            <w:pPr>
              <w:spacing w:before="40" w:after="40"/>
            </w:pPr>
            <w:r>
              <w:rPr>
                <w:sz w:val="16"/>
              </w:rPr>
              <w:t>300 000 €</w:t>
            </w:r>
          </w:p>
        </w:tc>
        <w:tc>
          <w:tcPr>
            <w:tcW w:type="dxa" w:w="1247"/>
            <w:shd w:val="clear" w:color="auto" w:fill="EBF3FA"/>
          </w:tcPr>
          <w:p>
            <w:pPr>
              <w:spacing w:before="40" w:after="40"/>
            </w:pPr>
            <w:r>
              <w:rPr>
                <w:sz w:val="16"/>
              </w:rPr>
              <w:t>19 440 €</w:t>
            </w:r>
          </w:p>
        </w:tc>
        <w:tc>
          <w:tcPr>
            <w:tcW w:type="dxa" w:w="1587"/>
            <w:shd w:val="clear" w:color="auto" w:fill="EBF3FA"/>
          </w:tcPr>
          <w:p>
            <w:pPr>
              <w:spacing w:before="40" w:after="40"/>
            </w:pPr>
            <w:r>
              <w:rPr>
                <w:sz w:val="16"/>
              </w:rPr>
              <w:t>105 000 €</w:t>
            </w:r>
          </w:p>
        </w:tc>
        <w:tc>
          <w:tcPr>
            <w:tcW w:type="dxa" w:w="1247"/>
            <w:shd w:val="clear" w:color="auto" w:fill="E8F5E9"/>
          </w:tcPr>
          <w:p>
            <w:pPr>
              <w:spacing w:before="40" w:after="40"/>
            </w:pPr>
            <w:r>
              <w:rPr>
                <w:sz w:val="16"/>
              </w:rPr>
              <w:t>124 440 €</w:t>
            </w:r>
          </w:p>
        </w:tc>
        <w:tc>
          <w:tcPr>
            <w:tcW w:type="dxa" w:w="1020"/>
          </w:tcPr>
          <w:p>
            <w:pPr>
              <w:spacing w:before="40" w:after="40"/>
            </w:pPr>
            <w:r>
              <w:rPr>
                <w:sz w:val="16"/>
              </w:rPr>
              <w:t>4.7 ans</w:t>
            </w:r>
          </w:p>
        </w:tc>
      </w:tr>
      <w:tr>
        <w:tc>
          <w:tcPr>
            <w:tcW w:type="dxa" w:w="3118"/>
            <w:shd w:val="clear" w:color="auto" w:fill="FFFFFF"/>
          </w:tcPr>
          <w:p>
            <w:pPr>
              <w:spacing w:before="40" w:after="40"/>
            </w:pPr>
            <w:r>
              <w:rPr>
                <w:sz w:val="14"/>
              </w:rPr>
              <w:t>Optimisation du groupe de refroidissement Carrier 30RBS 120 dans le Hall de fusion</w:t>
            </w:r>
          </w:p>
        </w:tc>
        <w:tc>
          <w:tcPr>
            <w:tcW w:type="dxa" w:w="1247"/>
            <w:shd w:val="clear" w:color="auto" w:fill="FFFFFF"/>
          </w:tcPr>
          <w:p>
            <w:pPr>
              <w:spacing w:before="40" w:after="40"/>
            </w:pPr>
            <w:r>
              <w:rPr>
                <w:sz w:val="16"/>
              </w:rPr>
              <w:t>50 000 €</w:t>
            </w:r>
          </w:p>
        </w:tc>
        <w:tc>
          <w:tcPr>
            <w:tcW w:type="dxa" w:w="1247"/>
            <w:shd w:val="clear" w:color="auto" w:fill="FFFFFF"/>
          </w:tcPr>
          <w:p>
            <w:pPr>
              <w:spacing w:before="40" w:after="40"/>
            </w:pPr>
            <w:r>
              <w:rPr>
                <w:sz w:val="16"/>
              </w:rPr>
              <w:t>2 295 €</w:t>
            </w:r>
          </w:p>
        </w:tc>
        <w:tc>
          <w:tcPr>
            <w:tcW w:type="dxa" w:w="1587"/>
            <w:shd w:val="clear" w:color="auto" w:fill="FFFFFF"/>
          </w:tcPr>
          <w:p>
            <w:pPr>
              <w:spacing w:before="40" w:after="40"/>
            </w:pPr>
            <w:r>
              <w:rPr>
                <w:sz w:val="16"/>
              </w:rPr>
              <w:t>—</w:t>
            </w:r>
          </w:p>
        </w:tc>
        <w:tc>
          <w:tcPr>
            <w:tcW w:type="dxa" w:w="1247"/>
            <w:shd w:val="clear" w:color="auto" w:fill="E8F5E9"/>
          </w:tcPr>
          <w:p>
            <w:pPr>
              <w:spacing w:before="40" w:after="40"/>
            </w:pPr>
            <w:r>
              <w:rPr>
                <w:sz w:val="16"/>
              </w:rPr>
              <w:t>2 295 €</w:t>
            </w:r>
          </w:p>
        </w:tc>
        <w:tc>
          <w:tcPr>
            <w:tcW w:type="dxa" w:w="1020"/>
          </w:tcPr>
          <w:p>
            <w:pPr>
              <w:spacing w:before="40" w:after="40"/>
            </w:pPr>
            <w:r>
              <w:rPr>
                <w:sz w:val="16"/>
              </w:rPr>
              <w:t>8.2 ans</w:t>
            </w:r>
          </w:p>
        </w:tc>
      </w:tr>
      <w:tr>
        <w:tc>
          <w:tcPr>
            <w:tcW w:type="dxa" w:w="3118"/>
            <w:shd w:val="clear" w:color="auto" w:fill="EBF3FA"/>
          </w:tcPr>
          <w:p>
            <w:pPr>
              <w:spacing w:before="40" w:after="40"/>
            </w:pPr>
            <w:r>
              <w:rPr>
                <w:sz w:val="14"/>
              </w:rPr>
              <w:t>Mise en place d'un système de gestion technique (GTB) pour les fours et le système d'aspiration du Hall de fusion</w:t>
            </w:r>
          </w:p>
        </w:tc>
        <w:tc>
          <w:tcPr>
            <w:tcW w:type="dxa" w:w="1247"/>
            <w:shd w:val="clear" w:color="auto" w:fill="EBF3FA"/>
          </w:tcPr>
          <w:p>
            <w:pPr>
              <w:spacing w:before="40" w:after="40"/>
            </w:pPr>
            <w:r>
              <w:rPr>
                <w:sz w:val="16"/>
              </w:rPr>
              <w:t>600 000 €</w:t>
            </w:r>
          </w:p>
        </w:tc>
        <w:tc>
          <w:tcPr>
            <w:tcW w:type="dxa" w:w="1247"/>
            <w:shd w:val="clear" w:color="auto" w:fill="EBF3FA"/>
          </w:tcPr>
          <w:p>
            <w:pPr>
              <w:spacing w:before="40" w:after="40"/>
            </w:pPr>
            <w:r>
              <w:rPr>
                <w:sz w:val="16"/>
              </w:rPr>
              <w:t>25 650 €</w:t>
            </w:r>
          </w:p>
        </w:tc>
        <w:tc>
          <w:tcPr>
            <w:tcW w:type="dxa" w:w="1587"/>
            <w:shd w:val="clear" w:color="auto" w:fill="EBF3FA"/>
          </w:tcPr>
          <w:p>
            <w:pPr>
              <w:spacing w:before="40" w:after="40"/>
            </w:pPr>
            <w:r>
              <w:rPr>
                <w:sz w:val="16"/>
              </w:rPr>
              <w:t>—</w:t>
            </w:r>
          </w:p>
        </w:tc>
        <w:tc>
          <w:tcPr>
            <w:tcW w:type="dxa" w:w="1247"/>
            <w:shd w:val="clear" w:color="auto" w:fill="E8F5E9"/>
          </w:tcPr>
          <w:p>
            <w:pPr>
              <w:spacing w:before="40" w:after="40"/>
            </w:pPr>
            <w:r>
              <w:rPr>
                <w:sz w:val="16"/>
              </w:rPr>
              <w:t>25 650 €</w:t>
            </w:r>
          </w:p>
        </w:tc>
        <w:tc>
          <w:tcPr>
            <w:tcW w:type="dxa" w:w="1020"/>
          </w:tcPr>
          <w:p>
            <w:pPr>
              <w:spacing w:before="40" w:after="40"/>
            </w:pPr>
            <w:r>
              <w:rPr>
                <w:sz w:val="16"/>
              </w:rPr>
              <w:t>11.7 ans</w:t>
            </w:r>
          </w:p>
        </w:tc>
      </w:tr>
      <w:tr>
        <w:tc>
          <w:tcPr>
            <w:tcW w:type="dxa" w:w="3118"/>
            <w:shd w:val="clear" w:color="auto" w:fill="FFFFFF"/>
          </w:tcPr>
          <w:p>
            <w:pPr>
              <w:spacing w:before="40" w:after="40"/>
            </w:pPr>
            <w:r>
              <w:rPr>
                <w:sz w:val="14"/>
              </w:rPr>
              <w:t>Remplacement (vétusté) : Chaudière gazDe Dietrich GT 330 (Chaufferie)</w:t>
            </w:r>
          </w:p>
        </w:tc>
        <w:tc>
          <w:tcPr>
            <w:tcW w:type="dxa" w:w="1247"/>
            <w:shd w:val="clear" w:color="auto" w:fill="FFFFFF"/>
          </w:tcPr>
          <w:p>
            <w:pPr>
              <w:spacing w:before="40" w:after="40"/>
            </w:pPr>
            <w:r>
              <w:rPr>
                <w:sz w:val="16"/>
              </w:rPr>
              <w:t>315 000 €</w:t>
            </w:r>
          </w:p>
        </w:tc>
        <w:tc>
          <w:tcPr>
            <w:tcW w:type="dxa" w:w="1247"/>
            <w:shd w:val="clear" w:color="auto" w:fill="FFFFFF"/>
          </w:tcPr>
          <w:p>
            <w:pPr>
              <w:spacing w:before="40" w:after="40"/>
            </w:pPr>
            <w:r>
              <w:rPr>
                <w:sz w:val="16"/>
              </w:rPr>
              <w:t>8 859 €</w:t>
            </w:r>
          </w:p>
        </w:tc>
        <w:tc>
          <w:tcPr>
            <w:tcW w:type="dxa" w:w="1587"/>
            <w:shd w:val="clear" w:color="auto" w:fill="FFFFFF"/>
          </w:tcPr>
          <w:p>
            <w:pPr>
              <w:spacing w:before="40" w:after="40"/>
            </w:pPr>
            <w:r>
              <w:rPr>
                <w:sz w:val="16"/>
              </w:rPr>
              <w:t>—</w:t>
              <w:br/>
              <w:t>+TVA: voir *</w:t>
            </w:r>
          </w:p>
        </w:tc>
        <w:tc>
          <w:tcPr>
            <w:tcW w:type="dxa" w:w="1247"/>
            <w:shd w:val="clear" w:color="auto" w:fill="E8F5E9"/>
          </w:tcPr>
          <w:p>
            <w:pPr>
              <w:spacing w:before="40" w:after="40"/>
            </w:pPr>
            <w:r>
              <w:rPr>
                <w:sz w:val="16"/>
              </w:rPr>
              <w:t>8 859 €</w:t>
            </w:r>
          </w:p>
        </w:tc>
        <w:tc>
          <w:tcPr>
            <w:tcW w:type="dxa" w:w="1020"/>
          </w:tcPr>
          <w:p>
            <w:pPr>
              <w:spacing w:before="40" w:after="40"/>
            </w:pPr>
            <w:r>
              <w:rPr>
                <w:sz w:val="16"/>
              </w:rPr>
              <w:t>13.6 ans</w:t>
            </w:r>
          </w:p>
        </w:tc>
      </w:tr>
      <w:tr>
        <w:tc>
          <w:tcPr>
            <w:tcW w:type="dxa" w:w="3118"/>
            <w:shd w:val="clear" w:color="auto" w:fill="EBF3FA"/>
          </w:tcPr>
          <w:p>
            <w:pPr>
              <w:spacing w:before="40" w:after="40"/>
            </w:pPr>
            <w:r>
              <w:rPr>
                <w:sz w:val="14"/>
              </w:rPr>
              <w:t>Remplacement du brûleur Weishaupt WG30N par un modèle micromodulant dans la Chaufferie</w:t>
            </w:r>
          </w:p>
        </w:tc>
        <w:tc>
          <w:tcPr>
            <w:tcW w:type="dxa" w:w="1247"/>
            <w:shd w:val="clear" w:color="auto" w:fill="EBF3FA"/>
          </w:tcPr>
          <w:p>
            <w:pPr>
              <w:spacing w:before="40" w:after="40"/>
            </w:pPr>
            <w:r>
              <w:rPr>
                <w:sz w:val="16"/>
              </w:rPr>
              <w:t>60 000 €</w:t>
            </w:r>
          </w:p>
        </w:tc>
        <w:tc>
          <w:tcPr>
            <w:tcW w:type="dxa" w:w="1247"/>
            <w:shd w:val="clear" w:color="auto" w:fill="EBF3FA"/>
          </w:tcPr>
          <w:p>
            <w:pPr>
              <w:spacing w:before="40" w:after="40"/>
            </w:pPr>
            <w:r>
              <w:rPr>
                <w:sz w:val="16"/>
              </w:rPr>
              <w:t>1 518 €</w:t>
            </w:r>
          </w:p>
        </w:tc>
        <w:tc>
          <w:tcPr>
            <w:tcW w:type="dxa" w:w="1587"/>
            <w:shd w:val="clear" w:color="auto" w:fill="EBF3FA"/>
          </w:tcPr>
          <w:p>
            <w:pPr>
              <w:spacing w:before="40" w:after="40"/>
            </w:pPr>
            <w:r>
              <w:rPr>
                <w:sz w:val="16"/>
              </w:rPr>
              <w:t>—</w:t>
              <w:br/>
              <w:t>+TVA: voir *</w:t>
            </w:r>
          </w:p>
        </w:tc>
        <w:tc>
          <w:tcPr>
            <w:tcW w:type="dxa" w:w="1247"/>
            <w:shd w:val="clear" w:color="auto" w:fill="E8F5E9"/>
          </w:tcPr>
          <w:p>
            <w:pPr>
              <w:spacing w:before="40" w:after="40"/>
            </w:pPr>
            <w:r>
              <w:rPr>
                <w:sz w:val="16"/>
              </w:rPr>
              <w:t>1 518 €</w:t>
            </w:r>
          </w:p>
        </w:tc>
        <w:tc>
          <w:tcPr>
            <w:tcW w:type="dxa" w:w="1020"/>
          </w:tcPr>
          <w:p>
            <w:pPr>
              <w:spacing w:before="40" w:after="40"/>
            </w:pPr>
            <w:r>
              <w:rPr>
                <w:sz w:val="16"/>
              </w:rPr>
              <w:t>15.1 ans</w:t>
            </w:r>
          </w:p>
        </w:tc>
      </w:tr>
    </w:tbl>
    <w:p>
      <w:pPr>
        <w:spacing w:before="40" w:after="40"/>
        <w:ind w:left="240"/>
      </w:pPr>
      <w:r>
        <w:rPr>
          <w:i/>
          <w:color w:val="555555"/>
          <w:sz w:val="16"/>
        </w:rPr>
        <w:t>• CEE : Certificats d'Économie d'Énergie — Art. L221-1 Code de l'énergie. Valorisation prudente à 0,003 €/kWh cumac (fourchette marché 2025 : 0,002–0,004 €/kWh cumac).</w:t>
      </w:r>
    </w:p>
    <w:p>
      <w:pPr>
        <w:spacing w:before="40" w:after="40"/>
        <w:ind w:left="240"/>
      </w:pPr>
      <w:r>
        <w:rPr>
          <w:i/>
          <w:color w:val="555555"/>
          <w:sz w:val="16"/>
        </w:rPr>
        <w:t>• Fonds Chaleur ADEME : subvention réservée aux ENR thermiques (PAC, biomasse, solaire thermique, géothermie…) pour installations &gt; 12 kW — dossier ADEME régionale.</w:t>
      </w:r>
    </w:p>
    <w:p>
      <w:pPr>
        <w:spacing w:before="40" w:after="40"/>
        <w:ind w:left="240"/>
      </w:pPr>
      <w:r>
        <w:rPr>
          <w:i/>
          <w:color w:val="555555"/>
          <w:sz w:val="16"/>
        </w:rPr>
        <w:t>• * TVA réduite 5,5% (CGI Art. 278-0 bis A) : applicable aux travaux en logement uniquement. Pour le tertiaire et l'industrie, le taux normal de 20% s'applique — à vérifier avec votre comptable.</w:t>
      </w:r>
    </w:p>
    <w:p>
      <w:pPr>
        <w:spacing w:before="40" w:after="40"/>
        <w:ind w:left="240"/>
      </w:pPr>
      <w:r>
        <w:rPr>
          <w:i/>
          <w:color w:val="555555"/>
          <w:sz w:val="16"/>
        </w:rPr>
        <w:t>• Prêt Vert BPI France : financement jusqu'à 70% pour investissements ≥ 75 000 € — dossier via banque partenaire BPI.</w:t>
      </w:r>
    </w:p>
    <w:p>
      <w:r>
        <w:br w:type="page"/>
      </w:r>
    </w:p>
    <w:p>
      <w:pPr>
        <w:spacing w:before="0" w:after="80"/>
        <w:pBdr>
          <w:left w:val="single" w:sz="24" w:space="4" w:color="1F4E79"/>
        </w:pBdr>
        <w:shd w:val="clear" w:color="auto" w:fill="EBF3FA"/>
      </w:pPr>
      <w:r>
        <w:rPr>
          <w:b/>
          <w:color w:val="FFFFFF"/>
          <w:sz w:val="26"/>
          <w:shd w:val="clear" w:color="auto" w:fill="1F4E79"/>
        </w:rPr>
        <w:t xml:space="preserve">  17.  </w:t>
      </w:r>
      <w:r>
        <w:rPr>
          <w:b/>
          <w:color w:val="1F4E79"/>
          <w:sz w:val="26"/>
        </w:rPr>
        <w:t xml:space="preserve"> Méthode de Mesure et Vérification (M&amp;V)</w:t>
      </w:r>
    </w:p>
    <w:p/>
    <w:p>
      <w:r>
        <w:t>Une estimation de gain n'a de valeur que si elle peut être vérifiée après coup : nous recommandons donc de mettre en place une démarche de mesure et vérification (M&amp;V) sur les actions les plus structurantes du plan. L'objectif est simple — confirmer, une fois l'action réalisée, que le gain énergétique annoncé est bien au rendez-vous, et donner au site les moyens de pérenniser cette vigilance dans la durée.</w:t>
      </w:r>
    </w:p>
    <w:p>
      <w:r>
        <w:t>Notre approche s'appuie sur le protocole international IPMVP (International Performance Measurement and Verification Protocol), référence du secteur. Deux options sont mobilisables selon la nature de l'action :</w:t>
      </w:r>
    </w:p>
    <w:p>
      <w:pPr>
        <w:pStyle w:val="ListParagraph"/>
      </w:pPr>
      <w:r>
        <w:t>Option A – Mesure partielle : relevé des paramètres déterminants (puissance appelée, durée de fonctionnement, débit, pression…) avant et après intervention, puis calcul des économies en ramenant les deux situations à des conditions de fonctionnement comparables.</w:t>
      </w:r>
    </w:p>
    <w:p>
      <w:pPr>
        <w:pStyle w:val="ListParagraph"/>
      </w:pPr>
      <w:r>
        <w:t>Option B – Mesure complète : suivi des consommations sur l'ensemble du périmètre de l'équipement ou du système concerné (compteur électrique, gaz, vapeur…), avant et après mise en œuvre.</w:t>
      </w:r>
    </w:p>
    <w:p>
      <w:r>
        <w:t>Dans les deux cas, les relevés doivent porter sur des périodes réellement comparables — même niveau d'activité, conditions climatiques et régime de fonctionnement proches. Un système de monitoring énergétique (EMS) facilite grandement cet exercice : suivi continu par usage, détection précoce des dérives, vérification post-travaux et alimentation d'indicateurs de performance propres à l'activité du site.</w:t>
      </w:r>
    </w:p>
    <w:p>
      <w:r>
        <w:t>C'est cette rigueur de vérification qui transforme une estimation en gain mesuré et durable — et qui inscrit le site dans une trajectoire cohérente avec les principes de l'ISO 50001.</w:t>
      </w:r>
    </w:p>
    <w:p>
      <w:r>
        <w:br w:type="page"/>
      </w:r>
    </w:p>
    <w:p>
      <w:pPr>
        <w:spacing w:before="0" w:after="80"/>
        <w:pBdr>
          <w:left w:val="single" w:sz="24" w:space="4" w:color="1F4E79"/>
        </w:pBdr>
        <w:shd w:val="clear" w:color="auto" w:fill="EBF3FA"/>
      </w:pPr>
      <w:r>
        <w:rPr>
          <w:b/>
          <w:color w:val="FFFFFF"/>
          <w:sz w:val="26"/>
          <w:shd w:val="clear" w:color="auto" w:fill="1F4E79"/>
        </w:rPr>
        <w:t xml:space="preserve">  18.  </w:t>
      </w:r>
      <w:r>
        <w:rPr>
          <w:b/>
          <w:color w:val="1F4E79"/>
          <w:sz w:val="26"/>
        </w:rPr>
        <w:t xml:space="preserve"> Conclusion</w:t>
      </w:r>
    </w:p>
    <w:p/>
    <w:p>
      <w:pPr>
        <w:spacing w:after="160"/>
      </w:pPr>
      <w:r>
        <w:t>L’audit énergétique réalisé sur le site de la Fonderie Alumi-Test SA a permis d’établir un état des lieux précis des consommations et des performances énergétiques. Avec une consommation annuelle de 14 000 794 kWh, représentant un coût de 1 204 000 € et des émissions de 1 588,6 tonnes de CO₂, le site présente un potentiel d’optimisation significatif. L’indice de performance énergétique de 1 482,4 kWh ep/m²/an, ainsi que les indicateurs clés comme la puissance de pointe (1 820,7 kW) et le talon (301,1 kW), révèlent des marges d’amélioration, notamment sur le gisement talon, estimé à 2 637 636 kWh/an. L’inventaire terrain, couvrant 46 équipements répartis sur 13 zones, et l’évaluation de l’enveloppe bâtimentaire, avec un coefficient U moyen pondéré de 0,96 W/m².K, complètent cette analyse.</w:t>
      </w:r>
    </w:p>
    <w:p>
      <w:pPr>
        <w:spacing w:after="160"/>
      </w:pPr>
      <w:r>
        <w:t>Huit actions prioritaires ont été identifiées, offrant des économies annuelles de 198 811 € pour un investissement total de 1 679 500 €. Parmi les leviers les plus prometteurs figurent l’électrification partielle des équipements, avec un potentiel d’économies de 65 000 € et une réduction de 372,5 tonnes de CO₂ par an, ainsi que le remplacement des 18 équipements vétustes, âgés de plus de 15 ans, qui pourraient générer 105 275 € d’économies supplémentaires. La qualité des données, avec un écart de seulement -1,5 % entre les consommations facturées et estimées, confirme la fiabilité des résultats. Trois usages énergétiques significatifs ont été ciblés, permettant de concentrer les efforts sur les postes les plus impactants.</w:t>
      </w:r>
    </w:p>
    <w:p>
      <w:pPr>
        <w:spacing w:after="160"/>
      </w:pPr>
      <w:r>
        <w:t>Cet audit met en lumière des opportunités concrètes pour réduire les coûts et l’empreinte carbone de la fonderie, tout en améliorant son efficacité opérationnelle. Les actions proposées, combinant gains financiers et environnementaux, s’inscrivent dans une démarche durable et rentable. Leur mise en œuvre, accompagnée d’un suivi régulier, permettra à Alumi-Test SA de renforcer sa compétitivité tout en contribuant aux objectifs de transition énergétique.</w:t>
      </w:r>
    </w:p>
    <w:p/>
    <w:p>
      <w:pPr>
        <w:jc w:val="center"/>
      </w:pPr>
      <w:r>
        <w:rPr>
          <w:i/>
          <w:color w:val="555555"/>
          <w:sz w:val="16"/>
        </w:rPr>
        <w:t>Rapport établi par Hugo Chambefort — FortHec° — 2026-05-12</w:t>
      </w:r>
    </w:p>
    <w:p>
      <w:r>
        <w:br w:type="page"/>
      </w:r>
    </w:p>
    <w:p>
      <w:pPr>
        <w:spacing w:before="0" w:after="80"/>
        <w:pBdr>
          <w:left w:val="single" w:sz="24" w:space="4" w:color="1F4E79"/>
        </w:pBdr>
        <w:shd w:val="clear" w:color="auto" w:fill="EBF3FA"/>
      </w:pPr>
      <w:r>
        <w:rPr>
          <w:b/>
          <w:color w:val="FFFFFF"/>
          <w:sz w:val="26"/>
          <w:shd w:val="clear" w:color="auto" w:fill="1F4E79"/>
        </w:rPr>
        <w:t xml:space="preserve">  A  </w:t>
      </w:r>
      <w:r>
        <w:rPr>
          <w:b/>
          <w:color w:val="1F4E79"/>
          <w:sz w:val="26"/>
        </w:rPr>
        <w:t xml:space="preserve"> Annexe A — Graphiques détaillés courbe de charge</w:t>
      </w:r>
    </w:p>
    <w:p/>
    <w:p>
      <w:r>
        <w:rPr>
          <w:b/>
          <w:color w:val="1F4E79"/>
          <w:sz w:val="22"/>
        </w:rPr>
        <w:t>Énergie : Électricité</w:t>
      </w:r>
    </w:p>
    <w:p>
      <w:r>
        <w:rPr>
          <w:sz w:val="18"/>
        </w:rPr>
        <w:t>Courbe de puissance — 10 jours représentatifs</w:t>
      </w:r>
    </w:p>
    <w:p>
      <w:pPr>
        <w:jc w:val="center"/>
      </w:pPr>
      <w:r>
        <w:drawing>
          <wp:inline xmlns:a="http://schemas.openxmlformats.org/drawingml/2006/main" xmlns:pic="http://schemas.openxmlformats.org/drawingml/2006/picture">
            <wp:extent cx="5400000" cy="1774719"/>
            <wp:docPr id="7" name="Picture 7"/>
            <wp:cNvGraphicFramePr>
              <a:graphicFrameLocks noChangeAspect="1"/>
            </wp:cNvGraphicFramePr>
            <a:graphic>
              <a:graphicData uri="http://schemas.openxmlformats.org/drawingml/2006/picture">
                <pic:pic>
                  <pic:nvPicPr>
                    <pic:cNvPr id="0" name="tmpfttduk60.png"/>
                    <pic:cNvPicPr/>
                  </pic:nvPicPr>
                  <pic:blipFill>
                    <a:blip r:embed="rId15"/>
                    <a:stretch>
                      <a:fillRect/>
                    </a:stretch>
                  </pic:blipFill>
                  <pic:spPr>
                    <a:xfrm>
                      <a:off x="0" y="0"/>
                      <a:ext cx="5400000" cy="1774719"/>
                    </a:xfrm>
                    <a:prstGeom prst="rect"/>
                  </pic:spPr>
                </pic:pic>
              </a:graphicData>
            </a:graphic>
          </wp:inline>
        </w:drawing>
      </w:r>
    </w:p>
    <w:p>
      <w:pPr>
        <w:jc w:val="center"/>
      </w:pPr>
      <w:r>
        <w:drawing>
          <wp:inline xmlns:a="http://schemas.openxmlformats.org/drawingml/2006/main" xmlns:pic="http://schemas.openxmlformats.org/drawingml/2006/picture">
            <wp:extent cx="3600000" cy="1242940"/>
            <wp:docPr id="8" name="Picture 8"/>
            <wp:cNvGraphicFramePr>
              <a:graphicFrameLocks noChangeAspect="1"/>
            </wp:cNvGraphicFramePr>
            <a:graphic>
              <a:graphicData uri="http://schemas.openxmlformats.org/drawingml/2006/picture">
                <pic:pic>
                  <pic:nvPicPr>
                    <pic:cNvPr id="0" name="tmpibe0glhf.png"/>
                    <pic:cNvPicPr/>
                  </pic:nvPicPr>
                  <pic:blipFill>
                    <a:blip r:embed="rId16"/>
                    <a:stretch>
                      <a:fillRect/>
                    </a:stretch>
                  </pic:blipFill>
                  <pic:spPr>
                    <a:xfrm>
                      <a:off x="0" y="0"/>
                      <a:ext cx="3600000" cy="1242940"/>
                    </a:xfrm>
                    <a:prstGeom prst="rect"/>
                  </pic:spPr>
                </pic:pic>
              </a:graphicData>
            </a:graphic>
          </wp:inline>
        </w:drawing>
      </w:r>
    </w:p>
    <w:p>
      <w:r>
        <w:rPr>
          <w:sz w:val="18"/>
        </w:rPr>
        <w:t>Consommation journalière</w:t>
      </w:r>
    </w:p>
    <w:p>
      <w:pPr>
        <w:jc w:val="center"/>
      </w:pPr>
      <w:r>
        <w:drawing>
          <wp:inline xmlns:a="http://schemas.openxmlformats.org/drawingml/2006/main" xmlns:pic="http://schemas.openxmlformats.org/drawingml/2006/picture">
            <wp:extent cx="5400000" cy="1868108"/>
            <wp:docPr id="9" name="Picture 9"/>
            <wp:cNvGraphicFramePr>
              <a:graphicFrameLocks noChangeAspect="1"/>
            </wp:cNvGraphicFramePr>
            <a:graphic>
              <a:graphicData uri="http://schemas.openxmlformats.org/drawingml/2006/picture">
                <pic:pic>
                  <pic:nvPicPr>
                    <pic:cNvPr id="0" name="tmplk3h8_pl.png"/>
                    <pic:cNvPicPr/>
                  </pic:nvPicPr>
                  <pic:blipFill>
                    <a:blip r:embed="rId17"/>
                    <a:stretch>
                      <a:fillRect/>
                    </a:stretch>
                  </pic:blipFill>
                  <pic:spPr>
                    <a:xfrm>
                      <a:off x="0" y="0"/>
                      <a:ext cx="5400000" cy="1868108"/>
                    </a:xfrm>
                    <a:prstGeom prst="rect"/>
                  </pic:spPr>
                </pic:pic>
              </a:graphicData>
            </a:graphic>
          </wp:inline>
        </w:drawing>
      </w:r>
    </w:p>
    <w:p>
      <w:r>
        <w:rPr>
          <w:sz w:val="18"/>
        </w:rPr>
        <w:t>Analyse du talon</w:t>
      </w:r>
    </w:p>
    <w:p>
      <w:pPr>
        <w:jc w:val="center"/>
      </w:pPr>
      <w:r>
        <w:drawing>
          <wp:inline xmlns:a="http://schemas.openxmlformats.org/drawingml/2006/main" xmlns:pic="http://schemas.openxmlformats.org/drawingml/2006/picture">
            <wp:extent cx="5400000" cy="1635998"/>
            <wp:docPr id="10" name="Picture 10"/>
            <wp:cNvGraphicFramePr>
              <a:graphicFrameLocks noChangeAspect="1"/>
            </wp:cNvGraphicFramePr>
            <a:graphic>
              <a:graphicData uri="http://schemas.openxmlformats.org/drawingml/2006/picture">
                <pic:pic>
                  <pic:nvPicPr>
                    <pic:cNvPr id="0" name="tmpz637gtfe.png"/>
                    <pic:cNvPicPr/>
                  </pic:nvPicPr>
                  <pic:blipFill>
                    <a:blip r:embed="rId18"/>
                    <a:stretch>
                      <a:fillRect/>
                    </a:stretch>
                  </pic:blipFill>
                  <pic:spPr>
                    <a:xfrm>
                      <a:off x="0" y="0"/>
                      <a:ext cx="5400000" cy="1635998"/>
                    </a:xfrm>
                    <a:prstGeom prst="rect"/>
                  </pic:spPr>
                </pic:pic>
              </a:graphicData>
            </a:graphic>
          </wp:inline>
        </w:drawing>
      </w:r>
    </w:p>
    <w:p/>
    <w:p>
      <w:r>
        <w:br w:type="page"/>
      </w:r>
    </w:p>
    <w:p>
      <w:pPr>
        <w:spacing w:before="0" w:after="80"/>
        <w:pBdr>
          <w:left w:val="single" w:sz="24" w:space="4" w:color="1F4E79"/>
        </w:pBdr>
        <w:shd w:val="clear" w:color="auto" w:fill="EBF3FA"/>
      </w:pPr>
      <w:r>
        <w:rPr>
          <w:b/>
          <w:color w:val="FFFFFF"/>
          <w:sz w:val="26"/>
          <w:shd w:val="clear" w:color="auto" w:fill="1F4E79"/>
        </w:rPr>
        <w:t xml:space="preserve">  B  </w:t>
      </w:r>
      <w:r>
        <w:rPr>
          <w:b/>
          <w:color w:val="1F4E79"/>
          <w:sz w:val="26"/>
        </w:rPr>
        <w:t xml:space="preserve"> Annexe B — Régressions linéaires complètes</w:t>
      </w:r>
    </w:p>
    <w:p/>
    <w:p>
      <w:pPr>
        <w:shd w:val="clear" w:color="auto" w:fill="E8F5E9"/>
      </w:pPr>
      <w:r>
        <w:rPr>
          <w:b/>
          <w:color w:val="1F4E79"/>
          <w:sz w:val="20"/>
        </w:rPr>
        <w:t xml:space="preserve">  ⚡ Électricité Production — R² = 0.953</w:t>
      </w:r>
    </w:p>
    <w:p>
      <w:r>
        <w:rPr>
          <w:sz w:val="18"/>
        </w:rPr>
        <w:t>IPE variable : 705.862 kWh/Production | Part fixe : 22.3 % | Partie fixe : 157 706 kWh/mois | N=12 points</w:t>
      </w:r>
    </w:p>
    <w:p>
      <w:pPr>
        <w:jc w:val="center"/>
      </w:pPr>
      <w:r>
        <w:drawing>
          <wp:inline xmlns:a="http://schemas.openxmlformats.org/drawingml/2006/main" xmlns:pic="http://schemas.openxmlformats.org/drawingml/2006/picture">
            <wp:extent cx="5400000" cy="1781818"/>
            <wp:docPr id="11" name="Picture 11"/>
            <wp:cNvGraphicFramePr>
              <a:graphicFrameLocks noChangeAspect="1"/>
            </wp:cNvGraphicFramePr>
            <a:graphic>
              <a:graphicData uri="http://schemas.openxmlformats.org/drawingml/2006/picture">
                <pic:pic>
                  <pic:nvPicPr>
                    <pic:cNvPr id="0" name="tmpi6luaht4.png"/>
                    <pic:cNvPicPr/>
                  </pic:nvPicPr>
                  <pic:blipFill>
                    <a:blip r:embed="rId19"/>
                    <a:stretch>
                      <a:fillRect/>
                    </a:stretch>
                  </pic:blipFill>
                  <pic:spPr>
                    <a:xfrm>
                      <a:off x="0" y="0"/>
                      <a:ext cx="5400000" cy="1781818"/>
                    </a:xfrm>
                    <a:prstGeom prst="rect"/>
                  </pic:spPr>
                </pic:pic>
              </a:graphicData>
            </a:graphic>
          </wp:inline>
        </w:drawing>
      </w:r>
    </w:p>
    <w:p/>
    <w:p>
      <w:pPr>
        <w:shd w:val="clear" w:color="auto" w:fill="E8F5E9"/>
      </w:pPr>
      <w:r>
        <w:rPr>
          <w:b/>
          <w:color w:val="1F4E79"/>
          <w:sz w:val="20"/>
        </w:rPr>
        <w:t xml:space="preserve">  🔥 Gaz Naturel Dju — R² = 0.929</w:t>
      </w:r>
    </w:p>
    <w:p>
      <w:r>
        <w:rPr>
          <w:sz w:val="18"/>
        </w:rPr>
        <w:t>Coeff DJU : 822.42 kWh/DJU | Part chauffage : 25.1 % | Part fixe : 11.0 % | N=12 points</w:t>
      </w:r>
    </w:p>
    <w:p>
      <w:pPr>
        <w:jc w:val="center"/>
      </w:pPr>
      <w:r>
        <w:drawing>
          <wp:inline xmlns:a="http://schemas.openxmlformats.org/drawingml/2006/main" xmlns:pic="http://schemas.openxmlformats.org/drawingml/2006/picture">
            <wp:extent cx="5400000" cy="1787858"/>
            <wp:docPr id="12" name="Picture 12"/>
            <wp:cNvGraphicFramePr>
              <a:graphicFrameLocks noChangeAspect="1"/>
            </wp:cNvGraphicFramePr>
            <a:graphic>
              <a:graphicData uri="http://schemas.openxmlformats.org/drawingml/2006/picture">
                <pic:pic>
                  <pic:nvPicPr>
                    <pic:cNvPr id="0" name="tmpb0khav6f.png"/>
                    <pic:cNvPicPr/>
                  </pic:nvPicPr>
                  <pic:blipFill>
                    <a:blip r:embed="rId20"/>
                    <a:stretch>
                      <a:fillRect/>
                    </a:stretch>
                  </pic:blipFill>
                  <pic:spPr>
                    <a:xfrm>
                      <a:off x="0" y="0"/>
                      <a:ext cx="5400000" cy="1787858"/>
                    </a:xfrm>
                    <a:prstGeom prst="rect"/>
                  </pic:spPr>
                </pic:pic>
              </a:graphicData>
            </a:graphic>
          </wp:inline>
        </w:drawing>
      </w:r>
    </w:p>
    <w:p/>
    <w:p>
      <w:pPr>
        <w:shd w:val="clear" w:color="auto" w:fill="E8F5E9"/>
      </w:pPr>
      <w:r>
        <w:rPr>
          <w:b/>
          <w:color w:val="1F4E79"/>
          <w:sz w:val="20"/>
        </w:rPr>
        <w:t xml:space="preserve">  ⚡ Fours / Fusion — R² = 0.990</w:t>
      </w:r>
    </w:p>
    <w:p>
      <w:r>
        <w:rPr>
          <w:sz w:val="18"/>
        </w:rPr>
        <w:t>IPE variable : 495.313 kWh/Production | Part fixe : 14.7 % | Partie fixe : 66 662 kWh/mois | N=12 points</w:t>
      </w:r>
    </w:p>
    <w:p>
      <w:pPr>
        <w:jc w:val="center"/>
      </w:pPr>
      <w:r>
        <w:drawing>
          <wp:inline xmlns:a="http://schemas.openxmlformats.org/drawingml/2006/main" xmlns:pic="http://schemas.openxmlformats.org/drawingml/2006/picture">
            <wp:extent cx="5400000" cy="1787858"/>
            <wp:docPr id="13" name="Picture 13"/>
            <wp:cNvGraphicFramePr>
              <a:graphicFrameLocks noChangeAspect="1"/>
            </wp:cNvGraphicFramePr>
            <a:graphic>
              <a:graphicData uri="http://schemas.openxmlformats.org/drawingml/2006/picture">
                <pic:pic>
                  <pic:nvPicPr>
                    <pic:cNvPr id="0" name="tmpwzh1kw89.png"/>
                    <pic:cNvPicPr/>
                  </pic:nvPicPr>
                  <pic:blipFill>
                    <a:blip r:embed="rId21"/>
                    <a:stretch>
                      <a:fillRect/>
                    </a:stretch>
                  </pic:blipFill>
                  <pic:spPr>
                    <a:xfrm>
                      <a:off x="0" y="0"/>
                      <a:ext cx="5400000" cy="1787858"/>
                    </a:xfrm>
                    <a:prstGeom prst="rect"/>
                  </pic:spPr>
                </pic:pic>
              </a:graphicData>
            </a:graphic>
          </wp:inline>
        </w:drawing>
      </w:r>
    </w:p>
    <w:p/>
    <w:p>
      <w:pPr>
        <w:shd w:val="clear" w:color="auto" w:fill="FFF8E1"/>
      </w:pPr>
      <w:r>
        <w:rPr>
          <w:b/>
          <w:color w:val="1F4E79"/>
          <w:sz w:val="20"/>
        </w:rPr>
        <w:t xml:space="preserve">  ⚡ Traitement thermique — R² = 0.807</w:t>
      </w:r>
    </w:p>
    <w:p>
      <w:r>
        <w:rPr>
          <w:sz w:val="18"/>
        </w:rPr>
        <w:t>IPE variable : 124.137 kWh/Production | Part fixe : 28.1 % | Partie fixe : 37 730 kWh/mois | N=12 points</w:t>
      </w:r>
    </w:p>
    <w:p>
      <w:pPr>
        <w:jc w:val="center"/>
      </w:pPr>
      <w:r>
        <w:drawing>
          <wp:inline xmlns:a="http://schemas.openxmlformats.org/drawingml/2006/main" xmlns:pic="http://schemas.openxmlformats.org/drawingml/2006/picture">
            <wp:extent cx="5400000" cy="1787858"/>
            <wp:docPr id="14" name="Picture 14"/>
            <wp:cNvGraphicFramePr>
              <a:graphicFrameLocks noChangeAspect="1"/>
            </wp:cNvGraphicFramePr>
            <a:graphic>
              <a:graphicData uri="http://schemas.openxmlformats.org/drawingml/2006/picture">
                <pic:pic>
                  <pic:nvPicPr>
                    <pic:cNvPr id="0" name="tmppltz_f69.png"/>
                    <pic:cNvPicPr/>
                  </pic:nvPicPr>
                  <pic:blipFill>
                    <a:blip r:embed="rId22"/>
                    <a:stretch>
                      <a:fillRect/>
                    </a:stretch>
                  </pic:blipFill>
                  <pic:spPr>
                    <a:xfrm>
                      <a:off x="0" y="0"/>
                      <a:ext cx="5400000" cy="1787858"/>
                    </a:xfrm>
                    <a:prstGeom prst="rect"/>
                  </pic:spPr>
                </pic:pic>
              </a:graphicData>
            </a:graphic>
          </wp:inline>
        </w:drawing>
      </w:r>
    </w:p>
    <w:p/>
    <w:p>
      <w:pPr>
        <w:shd w:val="clear" w:color="auto" w:fill="E8F5E9"/>
      </w:pPr>
      <w:r>
        <w:rPr>
          <w:b/>
          <w:color w:val="1F4E79"/>
          <w:sz w:val="20"/>
        </w:rPr>
        <w:t xml:space="preserve">  ⚡ Compresseurs air comprimé — R² = 0.880</w:t>
      </w:r>
    </w:p>
    <w:p>
      <w:r>
        <w:rPr>
          <w:sz w:val="18"/>
        </w:rPr>
        <w:t>IPE variable : 74.672 kWh/Production | Part fixe : 15.7 % | Partie fixe : 10 832 kWh/mois | N=12 points</w:t>
      </w:r>
    </w:p>
    <w:p>
      <w:pPr>
        <w:jc w:val="center"/>
      </w:pPr>
      <w:r>
        <w:drawing>
          <wp:inline xmlns:a="http://schemas.openxmlformats.org/drawingml/2006/main" xmlns:pic="http://schemas.openxmlformats.org/drawingml/2006/picture">
            <wp:extent cx="5400000" cy="1790894"/>
            <wp:docPr id="15" name="Picture 15"/>
            <wp:cNvGraphicFramePr>
              <a:graphicFrameLocks noChangeAspect="1"/>
            </wp:cNvGraphicFramePr>
            <a:graphic>
              <a:graphicData uri="http://schemas.openxmlformats.org/drawingml/2006/picture">
                <pic:pic>
                  <pic:nvPicPr>
                    <pic:cNvPr id="0" name="tmpfwozm3ba.png"/>
                    <pic:cNvPicPr/>
                  </pic:nvPicPr>
                  <pic:blipFill>
                    <a:blip r:embed="rId23"/>
                    <a:stretch>
                      <a:fillRect/>
                    </a:stretch>
                  </pic:blipFill>
                  <pic:spPr>
                    <a:xfrm>
                      <a:off x="0" y="0"/>
                      <a:ext cx="5400000" cy="1790894"/>
                    </a:xfrm>
                    <a:prstGeom prst="rect"/>
                  </pic:spPr>
                </pic:pic>
              </a:graphicData>
            </a:graphic>
          </wp:inline>
        </w:drawing>
      </w:r>
    </w:p>
    <w:p/>
    <w:p>
      <w:pPr>
        <w:shd w:val="clear" w:color="auto" w:fill="E8F5E9"/>
      </w:pPr>
      <w:r>
        <w:rPr>
          <w:b/>
          <w:color w:val="1F4E79"/>
          <w:sz w:val="20"/>
        </w:rPr>
        <w:t xml:space="preserve">  ⚡ CVC Ateliers — R² = 0.923</w:t>
      </w:r>
    </w:p>
    <w:p>
      <w:r>
        <w:rPr>
          <w:sz w:val="18"/>
        </w:rPr>
        <w:t>IPE variable : 252.264 kWh/DJU (Toulouse) | Part fixe : -3.4 % | Partie fixe : 0 kWh/mois | N=22 points</w:t>
      </w:r>
    </w:p>
    <w:p>
      <w:pPr>
        <w:jc w:val="center"/>
      </w:pPr>
      <w:r>
        <w:drawing>
          <wp:inline xmlns:a="http://schemas.openxmlformats.org/drawingml/2006/main" xmlns:pic="http://schemas.openxmlformats.org/drawingml/2006/picture">
            <wp:extent cx="5400000" cy="1786854"/>
            <wp:docPr id="16" name="Picture 16"/>
            <wp:cNvGraphicFramePr>
              <a:graphicFrameLocks noChangeAspect="1"/>
            </wp:cNvGraphicFramePr>
            <a:graphic>
              <a:graphicData uri="http://schemas.openxmlformats.org/drawingml/2006/picture">
                <pic:pic>
                  <pic:nvPicPr>
                    <pic:cNvPr id="0" name="tmp5nxg510_.png"/>
                    <pic:cNvPicPr/>
                  </pic:nvPicPr>
                  <pic:blipFill>
                    <a:blip r:embed="rId24"/>
                    <a:stretch>
                      <a:fillRect/>
                    </a:stretch>
                  </pic:blipFill>
                  <pic:spPr>
                    <a:xfrm>
                      <a:off x="0" y="0"/>
                      <a:ext cx="5400000" cy="1786854"/>
                    </a:xfrm>
                    <a:prstGeom prst="rect"/>
                  </pic:spPr>
                </pic:pic>
              </a:graphicData>
            </a:graphic>
          </wp:inline>
        </w:drawing>
      </w:r>
    </w:p>
    <w:p/>
    <w:p>
      <w:pPr>
        <w:shd w:val="clear" w:color="auto" w:fill="E8F5E9"/>
      </w:pPr>
      <w:r>
        <w:rPr>
          <w:b/>
          <w:color w:val="1F4E79"/>
          <w:sz w:val="20"/>
        </w:rPr>
        <w:t xml:space="preserve">  🔥 Chauffage Ateliers — R² = 0.921</w:t>
      </w:r>
    </w:p>
    <w:p>
      <w:r>
        <w:rPr>
          <w:sz w:val="18"/>
        </w:rPr>
        <w:t>Coeff DJU : 0.00 kWh/DJU | Part chauffage : 0 % | Part fixe : -8.1 % | N=22 points</w:t>
      </w:r>
    </w:p>
    <w:p>
      <w:pPr>
        <w:jc w:val="center"/>
      </w:pPr>
      <w:r>
        <w:drawing>
          <wp:inline xmlns:a="http://schemas.openxmlformats.org/drawingml/2006/main" xmlns:pic="http://schemas.openxmlformats.org/drawingml/2006/picture">
            <wp:extent cx="5400000" cy="1786854"/>
            <wp:docPr id="17" name="Picture 17"/>
            <wp:cNvGraphicFramePr>
              <a:graphicFrameLocks noChangeAspect="1"/>
            </wp:cNvGraphicFramePr>
            <a:graphic>
              <a:graphicData uri="http://schemas.openxmlformats.org/drawingml/2006/picture">
                <pic:pic>
                  <pic:nvPicPr>
                    <pic:cNvPr id="0" name="tmpm45gl8nz.png"/>
                    <pic:cNvPicPr/>
                  </pic:nvPicPr>
                  <pic:blipFill>
                    <a:blip r:embed="rId25"/>
                    <a:stretch>
                      <a:fillRect/>
                    </a:stretch>
                  </pic:blipFill>
                  <pic:spPr>
                    <a:xfrm>
                      <a:off x="0" y="0"/>
                      <a:ext cx="5400000" cy="1786854"/>
                    </a:xfrm>
                    <a:prstGeom prst="rect"/>
                  </pic:spPr>
                </pic:pic>
              </a:graphicData>
            </a:graphic>
          </wp:inline>
        </w:drawing>
      </w:r>
    </w:p>
    <w:p/>
    <w:p>
      <w:pPr>
        <w:shd w:val="clear" w:color="auto" w:fill="E8F5E9"/>
      </w:pPr>
      <w:r>
        <w:rPr>
          <w:b/>
          <w:color w:val="1F4E79"/>
          <w:sz w:val="20"/>
        </w:rPr>
        <w:t xml:space="preserve">  🔥 Process Gaz — R² = 0.942</w:t>
      </w:r>
    </w:p>
    <w:p>
      <w:r>
        <w:rPr>
          <w:sz w:val="18"/>
        </w:rPr>
        <w:t>Coeff DJU : 0.00 kWh/DJU | Part chauffage : 0 % | Part fixe : 12.5 % | N=12 points</w:t>
      </w:r>
    </w:p>
    <w:p>
      <w:pPr>
        <w:jc w:val="center"/>
      </w:pPr>
      <w:r>
        <w:drawing>
          <wp:inline xmlns:a="http://schemas.openxmlformats.org/drawingml/2006/main" xmlns:pic="http://schemas.openxmlformats.org/drawingml/2006/picture">
            <wp:extent cx="5400000" cy="1787858"/>
            <wp:docPr id="18" name="Picture 18"/>
            <wp:cNvGraphicFramePr>
              <a:graphicFrameLocks noChangeAspect="1"/>
            </wp:cNvGraphicFramePr>
            <a:graphic>
              <a:graphicData uri="http://schemas.openxmlformats.org/drawingml/2006/picture">
                <pic:pic>
                  <pic:nvPicPr>
                    <pic:cNvPr id="0" name="tmpxmqikzni.png"/>
                    <pic:cNvPicPr/>
                  </pic:nvPicPr>
                  <pic:blipFill>
                    <a:blip r:embed="rId26"/>
                    <a:stretch>
                      <a:fillRect/>
                    </a:stretch>
                  </pic:blipFill>
                  <pic:spPr>
                    <a:xfrm>
                      <a:off x="0" y="0"/>
                      <a:ext cx="5400000" cy="1787858"/>
                    </a:xfrm>
                    <a:prstGeom prst="rect"/>
                  </pic:spPr>
                </pic:pic>
              </a:graphicData>
            </a:graphic>
          </wp:inline>
        </w:drawing>
      </w:r>
    </w:p>
    <w:p/>
    <w:p>
      <w:r>
        <w:br w:type="page"/>
      </w:r>
    </w:p>
    <w:p>
      <w:pPr>
        <w:spacing w:before="0" w:after="80"/>
        <w:pBdr>
          <w:left w:val="single" w:sz="24" w:space="4" w:color="1F4E79"/>
        </w:pBdr>
        <w:shd w:val="clear" w:color="auto" w:fill="EBF3FA"/>
      </w:pPr>
      <w:r>
        <w:rPr>
          <w:b/>
          <w:color w:val="FFFFFF"/>
          <w:sz w:val="26"/>
          <w:shd w:val="clear" w:color="auto" w:fill="1F4E79"/>
        </w:rPr>
        <w:t xml:space="preserve">  19.  </w:t>
      </w:r>
      <w:r>
        <w:rPr>
          <w:b/>
          <w:color w:val="1F4E79"/>
          <w:sz w:val="26"/>
        </w:rPr>
        <w:t xml:space="preserve"> Annexes générales</w:t>
      </w:r>
    </w:p>
    <w:p/>
    <w:p>
      <w:r>
        <w:rPr>
          <w:b/>
          <w:color w:val="1F4E79"/>
          <w:sz w:val="22"/>
        </w:rPr>
        <w:t>Montant d'accise – exonération et tarif réduit</w:t>
      </w:r>
    </w:p>
    <w:p>
      <w:r>
        <w:t>L'ancienne CSPE, désormais renommée accise sur l'électricité, a été révisée par l'arrêté du 25 janvier 2024 (JO du 31 janvier 2024), pris en application des articles L. 121-7, L. 121-8 et L. 121-8-1 du code de l'énergie. Certaines activités peuvent, sous conditions, bénéficier d'un tarif réduit ou d'une exonération — liste non exhaustive ci-dessous, à confronter à la réglementation en vigueur au moment de la demande :</w:t>
      </w:r>
    </w:p>
    <w:p>
      <w:pPr>
        <w:pStyle w:val="ListParagraph"/>
      </w:pPr>
      <w:r>
        <w:t>Tarif réduit (0,05 c€/kWh) pour les entreprises à activité industrielle électro-intensive (seuils de 0,5 % à 13,5 % selon les secteurs), le transport guidé de personnes et marchandises, les centres de stockage de données numériques, certains aérodromes, ports et le transport collectif routier de personnes.</w:t>
      </w:r>
    </w:p>
    <w:p>
      <w:pPr>
        <w:pStyle w:val="ListParagraph"/>
      </w:pPr>
      <w:r>
        <w:t>Exonération totale ou partielle pour le « double usage » (procédés métallurgiques, réduction chimique, électrolyse), la fabrication de produits minéraux non métalliques, la production de biens très intensive en électricité, l'électricité consommée pour la production de produits énergétiques, la production d'électricité, et la production à bord des navires et bateaux.</w:t>
      </w:r>
    </w:p>
    <w:p>
      <w:r>
        <w:t>La demande d'exonération ou de tarif réduit s'effectue via le formulaire « 2040-TIC-ATT-E-SD » (Cerfa 16196*02), à envoyer au fournisseur d'électricité avant le 10 du mois M pour une application au 1ᵉʳ jour du mois M, ou après le 10 du mois M pour une application au 1ᵉʳ jour du mois M+1.</w:t>
      </w:r>
    </w:p>
    <w:p/>
    <w:p>
      <w:r>
        <w:rPr>
          <w:b/>
          <w:color w:val="1F4E79"/>
          <w:sz w:val="22"/>
        </w:rPr>
        <w:t>Facteurs de conversion</w:t>
      </w:r>
    </w:p>
    <w:tbl>
      <w:tblPr>
        <w:tblStyle w:val="TableGrid"/>
        <w:tblW w:type="auto" w:w="0"/>
        <w:tblLook w:firstColumn="1" w:firstRow="1" w:lastColumn="0" w:lastRow="0" w:noHBand="0" w:noVBand="1" w:val="04A0"/>
      </w:tblPr>
      <w:tblGrid>
        <w:gridCol w:w="3230"/>
        <w:gridCol w:w="3230"/>
        <w:gridCol w:w="3230"/>
      </w:tblGrid>
      <w:tr>
        <w:tc>
          <w:tcPr>
            <w:tcW w:type="dxa" w:w="3230"/>
            <w:shd w:val="clear" w:color="auto" w:fill="1F4E79"/>
          </w:tcPr>
          <w:p>
            <w:pPr>
              <w:jc w:val="center"/>
            </w:pPr>
            <w:r>
              <w:rPr>
                <w:b/>
                <w:color w:val="FFFFFF"/>
              </w:rPr>
              <w:t>Grandeur</w:t>
            </w:r>
          </w:p>
        </w:tc>
        <w:tc>
          <w:tcPr>
            <w:tcW w:type="dxa" w:w="3230"/>
            <w:shd w:val="clear" w:color="auto" w:fill="1F4E79"/>
          </w:tcPr>
          <w:p>
            <w:pPr>
              <w:jc w:val="center"/>
            </w:pPr>
            <w:r>
              <w:rPr>
                <w:b/>
                <w:color w:val="FFFFFF"/>
              </w:rPr>
              <w:t>Valeur</w:t>
            </w:r>
          </w:p>
        </w:tc>
        <w:tc>
          <w:tcPr>
            <w:tcW w:type="dxa" w:w="3230"/>
            <w:shd w:val="clear" w:color="auto" w:fill="1F4E79"/>
          </w:tcPr>
          <w:p>
            <w:pPr>
              <w:jc w:val="center"/>
            </w:pPr>
            <w:r>
              <w:rPr>
                <w:b/>
                <w:color w:val="FFFFFF"/>
              </w:rPr>
              <w:t>Unité</w:t>
            </w:r>
          </w:p>
        </w:tc>
      </w:tr>
      <w:tr>
        <w:tc>
          <w:tcPr>
            <w:tcW w:type="dxa" w:w="3230"/>
            <w:shd w:val="clear" w:color="auto" w:fill="FFFFFF"/>
          </w:tcPr>
          <w:p>
            <w:r>
              <w:t>1 kg de propane</w:t>
            </w:r>
          </w:p>
        </w:tc>
        <w:tc>
          <w:tcPr>
            <w:tcW w:type="dxa" w:w="3230"/>
            <w:shd w:val="clear" w:color="auto" w:fill="FFFFFF"/>
          </w:tcPr>
          <w:p>
            <w:r>
              <w:t>12,72</w:t>
            </w:r>
          </w:p>
        </w:tc>
        <w:tc>
          <w:tcPr>
            <w:tcW w:type="dxa" w:w="3230"/>
            <w:shd w:val="clear" w:color="auto" w:fill="FFFFFF"/>
          </w:tcPr>
          <w:p>
            <w:r>
              <w:t>kWh PCI</w:t>
            </w:r>
          </w:p>
        </w:tc>
      </w:tr>
      <w:tr>
        <w:tc>
          <w:tcPr>
            <w:tcW w:type="dxa" w:w="3230"/>
            <w:shd w:val="clear" w:color="auto" w:fill="EBF3FA"/>
          </w:tcPr>
          <w:p>
            <w:r>
              <w:t>1 Nm³ de gaz naturel</w:t>
            </w:r>
          </w:p>
        </w:tc>
        <w:tc>
          <w:tcPr>
            <w:tcW w:type="dxa" w:w="3230"/>
            <w:shd w:val="clear" w:color="auto" w:fill="EBF3FA"/>
          </w:tcPr>
          <w:p>
            <w:r>
              <w:t>10,6</w:t>
            </w:r>
          </w:p>
        </w:tc>
        <w:tc>
          <w:tcPr>
            <w:tcW w:type="dxa" w:w="3230"/>
            <w:shd w:val="clear" w:color="auto" w:fill="EBF3FA"/>
          </w:tcPr>
          <w:p>
            <w:r>
              <w:t>kWh PCI</w:t>
            </w:r>
          </w:p>
        </w:tc>
      </w:tr>
      <w:tr>
        <w:tc>
          <w:tcPr>
            <w:tcW w:type="dxa" w:w="3230"/>
            <w:shd w:val="clear" w:color="auto" w:fill="FFFFFF"/>
          </w:tcPr>
          <w:p>
            <w:r>
              <w:t>1 kg de gaz naturel</w:t>
            </w:r>
          </w:p>
        </w:tc>
        <w:tc>
          <w:tcPr>
            <w:tcW w:type="dxa" w:w="3230"/>
            <w:shd w:val="clear" w:color="auto" w:fill="FFFFFF"/>
          </w:tcPr>
          <w:p>
            <w:r>
              <w:t>13,59</w:t>
            </w:r>
          </w:p>
        </w:tc>
        <w:tc>
          <w:tcPr>
            <w:tcW w:type="dxa" w:w="3230"/>
            <w:shd w:val="clear" w:color="auto" w:fill="FFFFFF"/>
          </w:tcPr>
          <w:p>
            <w:r>
              <w:t>kWh PCI</w:t>
            </w:r>
          </w:p>
        </w:tc>
      </w:tr>
      <w:tr>
        <w:tc>
          <w:tcPr>
            <w:tcW w:type="dxa" w:w="3230"/>
            <w:shd w:val="clear" w:color="auto" w:fill="EBF3FA"/>
          </w:tcPr>
          <w:p>
            <w:r>
              <w:t>1 L de fioul domestique</w:t>
            </w:r>
          </w:p>
        </w:tc>
        <w:tc>
          <w:tcPr>
            <w:tcW w:type="dxa" w:w="3230"/>
            <w:shd w:val="clear" w:color="auto" w:fill="EBF3FA"/>
          </w:tcPr>
          <w:p>
            <w:r>
              <w:t>10,0</w:t>
            </w:r>
          </w:p>
        </w:tc>
        <w:tc>
          <w:tcPr>
            <w:tcW w:type="dxa" w:w="3230"/>
            <w:shd w:val="clear" w:color="auto" w:fill="EBF3FA"/>
          </w:tcPr>
          <w:p>
            <w:r>
              <w:t>kWh PCI</w:t>
            </w:r>
          </w:p>
        </w:tc>
      </w:tr>
      <w:tr>
        <w:tc>
          <w:tcPr>
            <w:tcW w:type="dxa" w:w="3230"/>
            <w:shd w:val="clear" w:color="auto" w:fill="FFFFFF"/>
          </w:tcPr>
          <w:p>
            <w:r>
              <w:t>Électricité (1 kWh ef → ep)</w:t>
            </w:r>
          </w:p>
        </w:tc>
        <w:tc>
          <w:tcPr>
            <w:tcW w:type="dxa" w:w="3230"/>
            <w:shd w:val="clear" w:color="auto" w:fill="FFFFFF"/>
          </w:tcPr>
          <w:p>
            <w:r>
              <w:t>2,58</w:t>
            </w:r>
          </w:p>
        </w:tc>
        <w:tc>
          <w:tcPr>
            <w:tcW w:type="dxa" w:w="3230"/>
            <w:shd w:val="clear" w:color="auto" w:fill="FFFFFF"/>
          </w:tcPr>
          <w:p>
            <w:r>
              <w:t>kWh ep</w:t>
            </w:r>
          </w:p>
        </w:tc>
      </w:tr>
      <w:tr>
        <w:tc>
          <w:tcPr>
            <w:tcW w:type="dxa" w:w="3230"/>
            <w:shd w:val="clear" w:color="auto" w:fill="EBF3FA"/>
          </w:tcPr>
          <w:p>
            <w:r>
              <w:t>Gaz naturel (1 kWh ef → ep)</w:t>
            </w:r>
          </w:p>
        </w:tc>
        <w:tc>
          <w:tcPr>
            <w:tcW w:type="dxa" w:w="3230"/>
            <w:shd w:val="clear" w:color="auto" w:fill="EBF3FA"/>
          </w:tcPr>
          <w:p>
            <w:r>
              <w:t>1,0</w:t>
            </w:r>
          </w:p>
        </w:tc>
        <w:tc>
          <w:tcPr>
            <w:tcW w:type="dxa" w:w="3230"/>
            <w:shd w:val="clear" w:color="auto" w:fill="EBF3FA"/>
          </w:tcPr>
          <w:p>
            <w:r>
              <w:t>kWh ep</w:t>
            </w:r>
          </w:p>
        </w:tc>
      </w:tr>
      <w:tr>
        <w:tc>
          <w:tcPr>
            <w:tcW w:type="dxa" w:w="3230"/>
            <w:shd w:val="clear" w:color="auto" w:fill="FFFFFF"/>
          </w:tcPr>
          <w:p>
            <w:r>
              <w:t>Facteur d'émission électricité</w:t>
            </w:r>
          </w:p>
        </w:tc>
        <w:tc>
          <w:tcPr>
            <w:tcW w:type="dxa" w:w="3230"/>
            <w:shd w:val="clear" w:color="auto" w:fill="FFFFFF"/>
          </w:tcPr>
          <w:p>
            <w:r>
              <w:t>60</w:t>
            </w:r>
          </w:p>
        </w:tc>
        <w:tc>
          <w:tcPr>
            <w:tcW w:type="dxa" w:w="3230"/>
            <w:shd w:val="clear" w:color="auto" w:fill="FFFFFF"/>
          </w:tcPr>
          <w:p>
            <w:r>
              <w:t>gCO₂éq/kWh ef</w:t>
            </w:r>
          </w:p>
        </w:tc>
      </w:tr>
      <w:tr>
        <w:tc>
          <w:tcPr>
            <w:tcW w:type="dxa" w:w="3230"/>
            <w:shd w:val="clear" w:color="auto" w:fill="EBF3FA"/>
          </w:tcPr>
          <w:p>
            <w:r>
              <w:t>Facteur d'émission gaz naturel</w:t>
            </w:r>
          </w:p>
        </w:tc>
        <w:tc>
          <w:tcPr>
            <w:tcW w:type="dxa" w:w="3230"/>
            <w:shd w:val="clear" w:color="auto" w:fill="EBF3FA"/>
          </w:tcPr>
          <w:p>
            <w:r>
              <w:t>205</w:t>
            </w:r>
          </w:p>
        </w:tc>
        <w:tc>
          <w:tcPr>
            <w:tcW w:type="dxa" w:w="3230"/>
            <w:shd w:val="clear" w:color="auto" w:fill="EBF3FA"/>
          </w:tcPr>
          <w:p>
            <w:r>
              <w:t>gCO₂éq/kWh PCS</w:t>
            </w:r>
          </w:p>
        </w:tc>
      </w:tr>
      <w:tr>
        <w:tc>
          <w:tcPr>
            <w:tcW w:type="dxa" w:w="3230"/>
            <w:shd w:val="clear" w:color="auto" w:fill="FFFFFF"/>
          </w:tcPr>
          <w:p>
            <w:r>
              <w:t>Facteur d'émission gaz propane</w:t>
            </w:r>
          </w:p>
        </w:tc>
        <w:tc>
          <w:tcPr>
            <w:tcW w:type="dxa" w:w="3230"/>
            <w:shd w:val="clear" w:color="auto" w:fill="FFFFFF"/>
          </w:tcPr>
          <w:p>
            <w:r>
              <w:t>250</w:t>
            </w:r>
          </w:p>
        </w:tc>
        <w:tc>
          <w:tcPr>
            <w:tcW w:type="dxa" w:w="3230"/>
            <w:shd w:val="clear" w:color="auto" w:fill="FFFFFF"/>
          </w:tcPr>
          <w:p>
            <w:r>
              <w:t>gCO₂éq/kWh PCS</w:t>
            </w:r>
          </w:p>
        </w:tc>
      </w:tr>
    </w:tbl>
    <w:p/>
    <w:p>
      <w:r>
        <w:rPr>
          <w:b/>
          <w:color w:val="1F4E79"/>
          <w:sz w:val="22"/>
        </w:rPr>
        <w:t>Glossaire</w:t>
      </w:r>
    </w:p>
    <w:tbl>
      <w:tblPr>
        <w:tblStyle w:val="TableGrid"/>
        <w:tblW w:type="auto" w:w="0"/>
        <w:tblLook w:firstColumn="1" w:firstRow="1" w:lastColumn="0" w:lastRow="0" w:noHBand="0" w:noVBand="1" w:val="04A0"/>
      </w:tblPr>
      <w:tblGrid>
        <w:gridCol w:w="4844"/>
        <w:gridCol w:w="4844"/>
      </w:tblGrid>
      <w:tr>
        <w:tc>
          <w:tcPr>
            <w:tcW w:type="dxa" w:w="4844"/>
            <w:shd w:val="clear" w:color="auto" w:fill="1F4E79"/>
          </w:tcPr>
          <w:p>
            <w:pPr>
              <w:jc w:val="center"/>
            </w:pPr>
            <w:r>
              <w:rPr>
                <w:b/>
                <w:color w:val="FFFFFF"/>
              </w:rPr>
              <w:t>Terme</w:t>
            </w:r>
          </w:p>
        </w:tc>
        <w:tc>
          <w:tcPr>
            <w:tcW w:type="dxa" w:w="4844"/>
            <w:shd w:val="clear" w:color="auto" w:fill="1F4E79"/>
          </w:tcPr>
          <w:p>
            <w:pPr>
              <w:jc w:val="center"/>
            </w:pPr>
            <w:r>
              <w:rPr>
                <w:b/>
                <w:color w:val="FFFFFF"/>
              </w:rPr>
              <w:t>Définition</w:t>
            </w:r>
          </w:p>
        </w:tc>
      </w:tr>
      <w:tr>
        <w:tc>
          <w:tcPr>
            <w:tcW w:type="dxa" w:w="4844"/>
            <w:shd w:val="clear" w:color="auto" w:fill="FFFFFF"/>
          </w:tcPr>
          <w:p>
            <w:r>
              <w:rPr>
                <w:b/>
              </w:rPr>
              <w:t>Audit énergétique (NF EN 16247)</w:t>
            </w:r>
          </w:p>
        </w:tc>
        <w:tc>
          <w:tcPr>
            <w:tcW w:type="dxa" w:w="4844"/>
            <w:shd w:val="clear" w:color="auto" w:fill="FFFFFF"/>
          </w:tcPr>
          <w:p>
            <w:r>
              <w:t>Analyse structurée des consommations et usages énergétiques d'un site visant à identifier des actions d'amélioration de la performance énergétique.</w:t>
            </w:r>
          </w:p>
        </w:tc>
      </w:tr>
      <w:tr>
        <w:tc>
          <w:tcPr>
            <w:tcW w:type="dxa" w:w="4844"/>
            <w:shd w:val="clear" w:color="auto" w:fill="EBF3FA"/>
          </w:tcPr>
          <w:p>
            <w:r>
              <w:rPr>
                <w:b/>
              </w:rPr>
              <w:t>ISO 50001</w:t>
            </w:r>
          </w:p>
        </w:tc>
        <w:tc>
          <w:tcPr>
            <w:tcW w:type="dxa" w:w="4844"/>
            <w:shd w:val="clear" w:color="auto" w:fill="EBF3FA"/>
          </w:tcPr>
          <w:p>
            <w:r>
              <w:t>Norme de management de l'énergie basée sur l'amélioration continue des performances énergétiques.</w:t>
            </w:r>
          </w:p>
        </w:tc>
      </w:tr>
      <w:tr>
        <w:tc>
          <w:tcPr>
            <w:tcW w:type="dxa" w:w="4844"/>
            <w:shd w:val="clear" w:color="auto" w:fill="FFFFFF"/>
          </w:tcPr>
          <w:p>
            <w:r>
              <w:rPr>
                <w:b/>
              </w:rPr>
              <w:t>SER (Situation Énergétique de Référence)</w:t>
            </w:r>
          </w:p>
        </w:tc>
        <w:tc>
          <w:tcPr>
            <w:tcW w:type="dxa" w:w="4844"/>
            <w:shd w:val="clear" w:color="auto" w:fill="FFFFFF"/>
          </w:tcPr>
          <w:p>
            <w:r>
              <w:t>Point de comparaison des consommations établi selon ISO 50006, permettant d'évaluer objectivement les gains liés aux actions d'amélioration.</w:t>
            </w:r>
          </w:p>
        </w:tc>
      </w:tr>
      <w:tr>
        <w:tc>
          <w:tcPr>
            <w:tcW w:type="dxa" w:w="4844"/>
            <w:shd w:val="clear" w:color="auto" w:fill="EBF3FA"/>
          </w:tcPr>
          <w:p>
            <w:r>
              <w:rPr>
                <w:b/>
              </w:rPr>
              <w:t>kWh ef / kWh ep</w:t>
            </w:r>
          </w:p>
        </w:tc>
        <w:tc>
          <w:tcPr>
            <w:tcW w:type="dxa" w:w="4844"/>
            <w:shd w:val="clear" w:color="auto" w:fill="EBF3FA"/>
          </w:tcPr>
          <w:p>
            <w:r>
              <w:t>Énergie finale consommée / énergie primaire intégrant les pertes de production et de transport.</w:t>
            </w:r>
          </w:p>
        </w:tc>
      </w:tr>
      <w:tr>
        <w:tc>
          <w:tcPr>
            <w:tcW w:type="dxa" w:w="4844"/>
            <w:shd w:val="clear" w:color="auto" w:fill="FFFFFF"/>
          </w:tcPr>
          <w:p>
            <w:r>
              <w:rPr>
                <w:b/>
              </w:rPr>
              <w:t>GES (CO₂eq)</w:t>
            </w:r>
          </w:p>
        </w:tc>
        <w:tc>
          <w:tcPr>
            <w:tcW w:type="dxa" w:w="4844"/>
            <w:shd w:val="clear" w:color="auto" w:fill="FFFFFF"/>
          </w:tcPr>
          <w:p>
            <w:r>
              <w:t>Émissions de gaz à effet de serre liées aux consommations énergétiques, exprimées en équivalent CO₂.</w:t>
            </w:r>
          </w:p>
        </w:tc>
      </w:tr>
      <w:tr>
        <w:tc>
          <w:tcPr>
            <w:tcW w:type="dxa" w:w="4844"/>
            <w:shd w:val="clear" w:color="auto" w:fill="EBF3FA"/>
          </w:tcPr>
          <w:p>
            <w:r>
              <w:rPr>
                <w:b/>
              </w:rPr>
              <w:t>DJU (Degrés Jours Unifiés)</w:t>
            </w:r>
          </w:p>
        </w:tc>
        <w:tc>
          <w:tcPr>
            <w:tcW w:type="dxa" w:w="4844"/>
            <w:shd w:val="clear" w:color="auto" w:fill="EBF3FA"/>
          </w:tcPr>
          <w:p>
            <w:r>
              <w:t>Indicateur climatique utilisé pour corréler les consommations énergétiques thermiques avec la rigueur climatique.</w:t>
            </w:r>
          </w:p>
        </w:tc>
      </w:tr>
      <w:tr>
        <w:tc>
          <w:tcPr>
            <w:tcW w:type="dxa" w:w="4844"/>
            <w:shd w:val="clear" w:color="auto" w:fill="FFFFFF"/>
          </w:tcPr>
          <w:p>
            <w:r>
              <w:rPr>
                <w:b/>
              </w:rPr>
              <w:t>R² (coefficient de détermination)</w:t>
            </w:r>
          </w:p>
        </w:tc>
        <w:tc>
          <w:tcPr>
            <w:tcW w:type="dxa" w:w="4844"/>
            <w:shd w:val="clear" w:color="auto" w:fill="FFFFFF"/>
          </w:tcPr>
          <w:p>
            <w:r>
              <w:t>Indicateur statistique mesurant la qualité de corrélation d'une régression entre deux variables.</w:t>
            </w:r>
          </w:p>
        </w:tc>
      </w:tr>
      <w:tr>
        <w:tc>
          <w:tcPr>
            <w:tcW w:type="dxa" w:w="4844"/>
            <w:shd w:val="clear" w:color="auto" w:fill="EBF3FA"/>
          </w:tcPr>
          <w:p>
            <w:r>
              <w:rPr>
                <w:b/>
              </w:rPr>
              <w:t>CVC</w:t>
            </w:r>
          </w:p>
        </w:tc>
        <w:tc>
          <w:tcPr>
            <w:tcW w:type="dxa" w:w="4844"/>
            <w:shd w:val="clear" w:color="auto" w:fill="EBF3FA"/>
          </w:tcPr>
          <w:p>
            <w:r>
              <w:t>Chauffage – Ventilation – Climatisation.</w:t>
            </w:r>
          </w:p>
        </w:tc>
      </w:tr>
      <w:tr>
        <w:tc>
          <w:tcPr>
            <w:tcW w:type="dxa" w:w="4844"/>
            <w:shd w:val="clear" w:color="auto" w:fill="FFFFFF"/>
          </w:tcPr>
          <w:p>
            <w:r>
              <w:rPr>
                <w:b/>
              </w:rPr>
              <w:t>GTB</w:t>
            </w:r>
          </w:p>
        </w:tc>
        <w:tc>
          <w:tcPr>
            <w:tcW w:type="dxa" w:w="4844"/>
            <w:shd w:val="clear" w:color="auto" w:fill="FFFFFF"/>
          </w:tcPr>
          <w:p>
            <w:r>
              <w:t>Gestion Technique du Bâtiment, permettant le pilotage centralisé des équipements.</w:t>
            </w:r>
          </w:p>
        </w:tc>
      </w:tr>
      <w:tr>
        <w:tc>
          <w:tcPr>
            <w:tcW w:type="dxa" w:w="4844"/>
            <w:shd w:val="clear" w:color="auto" w:fill="EBF3FA"/>
          </w:tcPr>
          <w:p>
            <w:r>
              <w:rPr>
                <w:b/>
              </w:rPr>
              <w:t>Courbe de charge</w:t>
            </w:r>
          </w:p>
        </w:tc>
        <w:tc>
          <w:tcPr>
            <w:tcW w:type="dxa" w:w="4844"/>
            <w:shd w:val="clear" w:color="auto" w:fill="EBF3FA"/>
          </w:tcPr>
          <w:p>
            <w:r>
              <w:t>Profil de consommation électrique dans le temps.</w:t>
            </w:r>
          </w:p>
        </w:tc>
      </w:tr>
      <w:tr>
        <w:tc>
          <w:tcPr>
            <w:tcW w:type="dxa" w:w="4844"/>
            <w:shd w:val="clear" w:color="auto" w:fill="FFFFFF"/>
          </w:tcPr>
          <w:p>
            <w:r>
              <w:rPr>
                <w:b/>
              </w:rPr>
              <w:t>Puissance souscrite / appelée</w:t>
            </w:r>
          </w:p>
        </w:tc>
        <w:tc>
          <w:tcPr>
            <w:tcW w:type="dxa" w:w="4844"/>
            <w:shd w:val="clear" w:color="auto" w:fill="FFFFFF"/>
          </w:tcPr>
          <w:p>
            <w:r>
              <w:t>Puissance contractualisée auprès du fournisseur / puissance réellement utilisée.</w:t>
            </w:r>
          </w:p>
        </w:tc>
      </w:tr>
      <w:tr>
        <w:tc>
          <w:tcPr>
            <w:tcW w:type="dxa" w:w="4844"/>
            <w:shd w:val="clear" w:color="auto" w:fill="EBF3FA"/>
          </w:tcPr>
          <w:p>
            <w:r>
              <w:rPr>
                <w:b/>
              </w:rPr>
              <w:t>TRI / RSI</w:t>
            </w:r>
          </w:p>
        </w:tc>
        <w:tc>
          <w:tcPr>
            <w:tcW w:type="dxa" w:w="4844"/>
            <w:shd w:val="clear" w:color="auto" w:fill="EBF3FA"/>
          </w:tcPr>
          <w:p>
            <w:r>
              <w:t>Indicateurs de rentabilité des investissements énergétiques (Temps de Retour sur Investissement / Retour Sur Investissement).</w:t>
            </w:r>
          </w:p>
        </w:tc>
      </w:tr>
      <w:tr>
        <w:tc>
          <w:tcPr>
            <w:tcW w:type="dxa" w:w="4844"/>
            <w:shd w:val="clear" w:color="auto" w:fill="FFFFFF"/>
          </w:tcPr>
          <w:p>
            <w:r>
              <w:rPr>
                <w:b/>
              </w:rPr>
              <w:t>CEE (Certificats d'Économies d'Énergie)</w:t>
            </w:r>
          </w:p>
        </w:tc>
        <w:tc>
          <w:tcPr>
            <w:tcW w:type="dxa" w:w="4844"/>
            <w:shd w:val="clear" w:color="auto" w:fill="FFFFFF"/>
          </w:tcPr>
          <w:p>
            <w:r>
              <w:t>Dispositif réglementaire de financement des actions d'efficacité énergétique.</w:t>
            </w:r>
          </w:p>
        </w:tc>
      </w:tr>
      <w:tr>
        <w:tc>
          <w:tcPr>
            <w:tcW w:type="dxa" w:w="4844"/>
            <w:shd w:val="clear" w:color="auto" w:fill="EBF3FA"/>
          </w:tcPr>
          <w:p>
            <w:r>
              <w:rPr>
                <w:b/>
              </w:rPr>
              <w:t>kWh Cumac</w:t>
            </w:r>
          </w:p>
        </w:tc>
        <w:tc>
          <w:tcPr>
            <w:tcW w:type="dxa" w:w="4844"/>
            <w:shd w:val="clear" w:color="auto" w:fill="EBF3FA"/>
          </w:tcPr>
          <w:p>
            <w:r>
              <w:t>Unité de valorisation des économies d'énergie dans le cadre des CEE, cumulée et actualisée sur la durée de vie de l'action.</w:t>
            </w:r>
          </w:p>
        </w:tc>
      </w:tr>
      <w:tr>
        <w:tc>
          <w:tcPr>
            <w:tcW w:type="dxa" w:w="4844"/>
            <w:shd w:val="clear" w:color="auto" w:fill="FFFFFF"/>
          </w:tcPr>
          <w:p>
            <w:r>
              <w:rPr>
                <w:b/>
              </w:rPr>
              <w:t>IPMVP</w:t>
            </w:r>
          </w:p>
        </w:tc>
        <w:tc>
          <w:tcPr>
            <w:tcW w:type="dxa" w:w="4844"/>
            <w:shd w:val="clear" w:color="auto" w:fill="FFFFFF"/>
          </w:tcPr>
          <w:p>
            <w:r>
              <w:t>International Performance Measurement and Verification Protocol — protocole international de mesure et vérification des économies d'énergie.</w:t>
            </w:r>
          </w:p>
        </w:tc>
      </w:tr>
      <w:tr>
        <w:tc>
          <w:tcPr>
            <w:tcW w:type="dxa" w:w="4844"/>
            <w:shd w:val="clear" w:color="auto" w:fill="EBF3FA"/>
          </w:tcPr>
          <w:p>
            <w:r>
              <w:rPr>
                <w:b/>
              </w:rPr>
              <w:t>Photovoltaïque (kWc)</w:t>
            </w:r>
          </w:p>
        </w:tc>
        <w:tc>
          <w:tcPr>
            <w:tcW w:type="dxa" w:w="4844"/>
            <w:shd w:val="clear" w:color="auto" w:fill="EBF3FA"/>
          </w:tcPr>
          <w:p>
            <w:r>
              <w:t>Production d'électricité solaire, puissance exprimée en kilowatt-crête (kWc).</w:t>
            </w:r>
          </w:p>
        </w:tc>
      </w:tr>
      <w:tr>
        <w:tc>
          <w:tcPr>
            <w:tcW w:type="dxa" w:w="4844"/>
            <w:shd w:val="clear" w:color="auto" w:fill="FFFFFF"/>
          </w:tcPr>
          <w:p>
            <w:r>
              <w:rPr>
                <w:b/>
              </w:rPr>
              <w:t>Autoconsommation</w:t>
            </w:r>
          </w:p>
        </w:tc>
        <w:tc>
          <w:tcPr>
            <w:tcW w:type="dxa" w:w="4844"/>
            <w:shd w:val="clear" w:color="auto" w:fill="FFFFFF"/>
          </w:tcPr>
          <w:p>
            <w:r>
              <w:t>Consommation directe, sur le site, de l'électricité qui y est produite.</w:t>
            </w:r>
          </w:p>
        </w:tc>
      </w:tr>
    </w:tbl>
    <w:sectPr w:rsidR="00FC693F" w:rsidRPr="0006063C" w:rsidSect="00034616">
      <w:headerReference w:type="default" r:id="rId27"/>
      <w:footerReference w:type="default" r:id="rId28"/>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pBdr>
        <w:top w:val="single" w:sz="4" w:color="D6E4F0"/>
      </w:pBdr>
      <w:jc w:val="center"/>
    </w:pPr>
    <w:r>
      <w:rPr>
        <w:color w:val="555555"/>
        <w:sz w:val="16"/>
      </w:rPr>
      <w:t xml:space="preserve">  © 2026 FortHeC°  |  Version Bêta  |  FortHec°  |  2026-07-28  |  p. </w:t>
    </w:r>
    <w:r>
      <w:rPr>
        <w:color w:val="555555"/>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Bdr>
        <w:bottom w:val="single" w:sz="6" w:color="1F4E79"/>
      </w:pBdr>
    </w:pPr>
    <w:r>
      <w:rPr>
        <w:i/>
        <w:color w:val="2E5F8A"/>
        <w:sz w:val="16"/>
      </w:rPr>
      <w:t xml:space="preserve">  FortHeC Energy — Audit Énergétique NF EN 16247  |  Fonderie Alumi-Test SA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header" Target="header1.xm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